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8B6C" w14:textId="77777777" w:rsidR="00250EF9" w:rsidRDefault="00C725FC">
      <w:pPr>
        <w:shd w:val="clear" w:color="auto" w:fill="FFFFFF"/>
        <w:spacing w:after="270"/>
      </w:pPr>
      <w:r>
        <w:rPr>
          <w:rFonts w:cs="Tahoma"/>
          <w:b/>
          <w:bCs/>
          <w:color w:val="252525"/>
          <w:sz w:val="28"/>
          <w:szCs w:val="28"/>
        </w:rPr>
        <w:t>5. RETRIBUCIONES.</w:t>
      </w:r>
    </w:p>
    <w:p w14:paraId="0AF091AB" w14:textId="77777777" w:rsidR="00250EF9" w:rsidRDefault="00C725FC">
      <w:pPr>
        <w:shd w:val="clear" w:color="auto" w:fill="FFFFFF"/>
        <w:spacing w:after="270"/>
      </w:pPr>
      <w:r>
        <w:rPr>
          <w:rFonts w:cs="Tahoma"/>
          <w:b/>
          <w:bCs/>
          <w:color w:val="252525"/>
          <w:sz w:val="24"/>
          <w:szCs w:val="24"/>
        </w:rPr>
        <w:t>5.3 INFORMACIÓN GENERAL SOBRE LAS CONDICIONES PARA EL DEVENGO Y CUANTÍAS DE LAS INDEMNIZACIONES POR RAZÓN DEL SERVICIO.</w:t>
      </w:r>
    </w:p>
    <w:p w14:paraId="4A110205" w14:textId="0C920611" w:rsidR="00250EF9" w:rsidRDefault="00C725FC">
      <w:pPr>
        <w:shd w:val="clear" w:color="auto" w:fill="FFFFFF"/>
        <w:spacing w:after="270"/>
      </w:pPr>
      <w:r>
        <w:rPr>
          <w:rFonts w:cs="Tahoma"/>
          <w:b/>
          <w:bCs/>
          <w:color w:val="252525"/>
          <w:sz w:val="24"/>
          <w:szCs w:val="24"/>
        </w:rPr>
        <w:t xml:space="preserve">1056 </w:t>
      </w:r>
      <w:proofErr w:type="gramStart"/>
      <w:r>
        <w:rPr>
          <w:rFonts w:cs="Tahoma"/>
          <w:b/>
          <w:bCs/>
          <w:color w:val="252525"/>
          <w:sz w:val="24"/>
          <w:szCs w:val="24"/>
        </w:rPr>
        <w:t>Viajes</w:t>
      </w:r>
      <w:proofErr w:type="gramEnd"/>
      <w:r>
        <w:rPr>
          <w:rFonts w:cs="Tahoma"/>
          <w:b/>
          <w:bCs/>
          <w:color w:val="252525"/>
          <w:sz w:val="24"/>
          <w:szCs w:val="24"/>
        </w:rPr>
        <w:t>, manutención, alojamiento y asistencia a órganos colegiados o sociales.</w:t>
      </w:r>
    </w:p>
    <w:p w14:paraId="09875CCD" w14:textId="77777777" w:rsidR="00250EF9" w:rsidRDefault="00C725FC">
      <w:pPr>
        <w:pStyle w:val="Prrafodelista"/>
        <w:numPr>
          <w:ilvl w:val="0"/>
          <w:numId w:val="1"/>
        </w:numPr>
        <w:shd w:val="clear" w:color="auto" w:fill="FFFFFF"/>
        <w:spacing w:after="270"/>
        <w:rPr>
          <w:rFonts w:cs="Tahoma"/>
          <w:b/>
          <w:color w:val="252525"/>
          <w:sz w:val="22"/>
          <w:szCs w:val="18"/>
        </w:rPr>
      </w:pPr>
      <w:r>
        <w:rPr>
          <w:rFonts w:cs="Tahoma"/>
          <w:b/>
          <w:color w:val="252525"/>
          <w:sz w:val="22"/>
          <w:szCs w:val="18"/>
        </w:rPr>
        <w:t>Información general sobre las cuantías de las asistencias por concurrencia efectiva a las sesiones de los órganos colegiados:</w:t>
      </w:r>
    </w:p>
    <w:p w14:paraId="28FFD5ED" w14:textId="77777777" w:rsidR="00922F26" w:rsidRDefault="00C725FC">
      <w:pPr>
        <w:shd w:val="clear" w:color="auto" w:fill="FFFFFF"/>
        <w:spacing w:after="270"/>
        <w:rPr>
          <w:rFonts w:cs="Tahoma"/>
          <w:color w:val="252525"/>
          <w:sz w:val="22"/>
          <w:szCs w:val="18"/>
        </w:rPr>
      </w:pPr>
      <w:r>
        <w:rPr>
          <w:rFonts w:cs="Tahoma"/>
          <w:color w:val="252525"/>
          <w:sz w:val="22"/>
          <w:szCs w:val="18"/>
        </w:rPr>
        <w:t xml:space="preserve">El importe de las dietas por la asistencia a las sesiones del Consejo de Administración, Comisiones Permanentes Ejecutivas y Junta General, de los miembros del Consejo de Administración </w:t>
      </w:r>
      <w:r w:rsidR="00922F26">
        <w:rPr>
          <w:rFonts w:cs="Tahoma"/>
          <w:color w:val="252525"/>
          <w:sz w:val="22"/>
          <w:szCs w:val="18"/>
        </w:rPr>
        <w:t>son:</w:t>
      </w:r>
    </w:p>
    <w:p w14:paraId="79BEBA70" w14:textId="77777777" w:rsidR="00922F26" w:rsidRDefault="00922F26" w:rsidP="00922F26">
      <w:pPr>
        <w:shd w:val="clear" w:color="auto" w:fill="FFFFFF"/>
        <w:spacing w:after="270"/>
        <w:ind w:left="720" w:firstLine="720"/>
        <w:rPr>
          <w:rFonts w:cs="Tahoma"/>
          <w:color w:val="252525"/>
          <w:sz w:val="22"/>
          <w:szCs w:val="18"/>
        </w:rPr>
      </w:pPr>
      <w:r>
        <w:rPr>
          <w:rFonts w:cs="Tahoma"/>
          <w:color w:val="252525"/>
          <w:sz w:val="22"/>
          <w:szCs w:val="18"/>
        </w:rPr>
        <w:t>Consejeros</w:t>
      </w:r>
      <w:r>
        <w:rPr>
          <w:rFonts w:cs="Tahoma"/>
          <w:color w:val="252525"/>
          <w:sz w:val="22"/>
          <w:szCs w:val="18"/>
        </w:rPr>
        <w:tab/>
      </w:r>
      <w:r w:rsidR="00C725FC">
        <w:rPr>
          <w:rFonts w:cs="Tahoma"/>
          <w:color w:val="252525"/>
          <w:sz w:val="22"/>
          <w:szCs w:val="18"/>
        </w:rPr>
        <w:t xml:space="preserve"> </w:t>
      </w:r>
      <w:r>
        <w:rPr>
          <w:rFonts w:cs="Tahoma"/>
          <w:color w:val="252525"/>
          <w:sz w:val="22"/>
          <w:szCs w:val="18"/>
        </w:rPr>
        <w:t>€</w:t>
      </w:r>
      <w:r w:rsidR="00C725FC">
        <w:rPr>
          <w:rFonts w:cs="Tahoma"/>
          <w:color w:val="252525"/>
          <w:sz w:val="22"/>
          <w:szCs w:val="18"/>
        </w:rPr>
        <w:t xml:space="preserve"> </w:t>
      </w:r>
    </w:p>
    <w:p w14:paraId="2503569F" w14:textId="77777777" w:rsidR="00250EF9" w:rsidRDefault="00922F26" w:rsidP="00922F26">
      <w:pPr>
        <w:shd w:val="clear" w:color="auto" w:fill="FFFFFF"/>
        <w:spacing w:after="270"/>
        <w:ind w:left="720" w:firstLine="720"/>
        <w:rPr>
          <w:rFonts w:cs="Tahoma"/>
          <w:color w:val="252525"/>
          <w:sz w:val="22"/>
          <w:szCs w:val="18"/>
        </w:rPr>
      </w:pPr>
      <w:r>
        <w:rPr>
          <w:rFonts w:cs="Tahoma"/>
          <w:color w:val="252525"/>
          <w:sz w:val="22"/>
          <w:szCs w:val="18"/>
        </w:rPr>
        <w:t>Presidente</w:t>
      </w:r>
      <w:r>
        <w:rPr>
          <w:rFonts w:cs="Tahoma"/>
          <w:color w:val="252525"/>
          <w:sz w:val="22"/>
          <w:szCs w:val="18"/>
        </w:rPr>
        <w:tab/>
      </w:r>
      <w:r w:rsidR="00C725FC">
        <w:rPr>
          <w:rFonts w:cs="Tahoma"/>
          <w:color w:val="252525"/>
          <w:sz w:val="22"/>
          <w:szCs w:val="18"/>
        </w:rPr>
        <w:t xml:space="preserve"> </w:t>
      </w:r>
      <w:r>
        <w:rPr>
          <w:rFonts w:cs="Tahoma"/>
          <w:color w:val="252525"/>
          <w:sz w:val="22"/>
          <w:szCs w:val="18"/>
        </w:rPr>
        <w:t>€</w:t>
      </w:r>
    </w:p>
    <w:p w14:paraId="0C1ED606" w14:textId="77777777" w:rsidR="00250EF9" w:rsidRDefault="00C725FC">
      <w:pPr>
        <w:pStyle w:val="Prrafodelista"/>
        <w:numPr>
          <w:ilvl w:val="0"/>
          <w:numId w:val="1"/>
        </w:numPr>
        <w:shd w:val="clear" w:color="auto" w:fill="FFFFFF"/>
        <w:spacing w:after="270"/>
        <w:rPr>
          <w:rFonts w:cs="Tahoma"/>
          <w:b/>
          <w:color w:val="252525"/>
          <w:sz w:val="22"/>
          <w:szCs w:val="18"/>
        </w:rPr>
      </w:pPr>
      <w:r>
        <w:rPr>
          <w:rFonts w:cs="Tahoma"/>
          <w:b/>
          <w:color w:val="252525"/>
          <w:sz w:val="22"/>
          <w:szCs w:val="18"/>
        </w:rPr>
        <w:t>Información general sobre las condiciones de devengo y las cuantías de las indemnizaciones que corresponden por razón del servicio en concepto de viajes, manutención y alojamiento al personal es la siguiente:</w:t>
      </w:r>
    </w:p>
    <w:p w14:paraId="160569DE" w14:textId="77777777" w:rsidR="00250EF9" w:rsidRDefault="00C725FC">
      <w:pPr>
        <w:shd w:val="clear" w:color="auto" w:fill="FFFFFF"/>
        <w:ind w:left="720"/>
        <w:rPr>
          <w:rFonts w:cs="Tahoma"/>
          <w:color w:val="252525"/>
          <w:sz w:val="22"/>
          <w:szCs w:val="18"/>
        </w:rPr>
      </w:pPr>
      <w:r>
        <w:rPr>
          <w:rFonts w:cs="Tahoma"/>
          <w:color w:val="252525"/>
          <w:sz w:val="22"/>
          <w:szCs w:val="18"/>
        </w:rPr>
        <w:t xml:space="preserve">España con pernocta: </w:t>
      </w:r>
      <w:r>
        <w:rPr>
          <w:rFonts w:cs="Tahoma"/>
          <w:color w:val="252525"/>
          <w:sz w:val="22"/>
          <w:szCs w:val="18"/>
        </w:rPr>
        <w:tab/>
        <w:t>€</w:t>
      </w:r>
    </w:p>
    <w:p w14:paraId="68BB1A46" w14:textId="77777777" w:rsidR="00250EF9" w:rsidRDefault="00C725FC">
      <w:pPr>
        <w:shd w:val="clear" w:color="auto" w:fill="FFFFFF"/>
        <w:ind w:left="720"/>
        <w:rPr>
          <w:rFonts w:cs="Tahoma"/>
          <w:color w:val="252525"/>
          <w:sz w:val="22"/>
          <w:szCs w:val="18"/>
        </w:rPr>
      </w:pPr>
      <w:r>
        <w:rPr>
          <w:rFonts w:cs="Tahoma"/>
          <w:color w:val="252525"/>
          <w:sz w:val="22"/>
          <w:szCs w:val="18"/>
        </w:rPr>
        <w:t xml:space="preserve">España sin pernocta: </w:t>
      </w:r>
      <w:r>
        <w:rPr>
          <w:rFonts w:cs="Tahoma"/>
          <w:color w:val="252525"/>
          <w:sz w:val="22"/>
          <w:szCs w:val="18"/>
        </w:rPr>
        <w:tab/>
      </w:r>
      <w:r>
        <w:rPr>
          <w:rFonts w:cs="Tahoma"/>
          <w:color w:val="252525"/>
          <w:sz w:val="22"/>
          <w:szCs w:val="18"/>
        </w:rPr>
        <w:tab/>
        <w:t>€</w:t>
      </w:r>
    </w:p>
    <w:p w14:paraId="6CEBEB35" w14:textId="77777777" w:rsidR="00250EF9" w:rsidRDefault="00C725FC">
      <w:pPr>
        <w:shd w:val="clear" w:color="auto" w:fill="FFFFFF"/>
        <w:ind w:left="720"/>
        <w:rPr>
          <w:rFonts w:cs="Tahoma"/>
          <w:color w:val="252525"/>
          <w:sz w:val="22"/>
          <w:szCs w:val="18"/>
        </w:rPr>
      </w:pPr>
      <w:r>
        <w:rPr>
          <w:rFonts w:cs="Tahoma"/>
          <w:color w:val="252525"/>
          <w:sz w:val="22"/>
          <w:szCs w:val="18"/>
        </w:rPr>
        <w:t>Extranjero con pernocta:</w:t>
      </w:r>
      <w:r>
        <w:rPr>
          <w:rFonts w:cs="Tahoma"/>
          <w:color w:val="252525"/>
          <w:sz w:val="22"/>
          <w:szCs w:val="18"/>
        </w:rPr>
        <w:tab/>
        <w:t>€</w:t>
      </w:r>
    </w:p>
    <w:p w14:paraId="31AB5328" w14:textId="77777777" w:rsidR="00250EF9" w:rsidRDefault="00C725FC">
      <w:pPr>
        <w:shd w:val="clear" w:color="auto" w:fill="FFFFFF"/>
        <w:ind w:left="720"/>
        <w:rPr>
          <w:rFonts w:cs="Tahoma"/>
          <w:color w:val="252525"/>
          <w:sz w:val="22"/>
          <w:szCs w:val="18"/>
        </w:rPr>
      </w:pPr>
      <w:r>
        <w:rPr>
          <w:rFonts w:cs="Tahoma"/>
          <w:color w:val="252525"/>
          <w:sz w:val="22"/>
          <w:szCs w:val="18"/>
        </w:rPr>
        <w:t>Extranjero sin pernocta:</w:t>
      </w:r>
      <w:r>
        <w:rPr>
          <w:rFonts w:cs="Tahoma"/>
          <w:color w:val="252525"/>
          <w:sz w:val="22"/>
          <w:szCs w:val="18"/>
        </w:rPr>
        <w:tab/>
        <w:t>€</w:t>
      </w:r>
    </w:p>
    <w:p w14:paraId="14A1E599" w14:textId="77777777" w:rsidR="00250EF9" w:rsidRDefault="00250EF9">
      <w:pPr>
        <w:shd w:val="clear" w:color="auto" w:fill="FFFFFF"/>
        <w:spacing w:after="270"/>
        <w:rPr>
          <w:rFonts w:cs="Tahoma"/>
          <w:color w:val="252525"/>
          <w:sz w:val="18"/>
          <w:szCs w:val="18"/>
        </w:rPr>
      </w:pPr>
    </w:p>
    <w:p w14:paraId="21F1DDAC" w14:textId="77777777" w:rsidR="00250EF9" w:rsidRDefault="00C725FC">
      <w:pPr>
        <w:pStyle w:val="Prrafodelista"/>
        <w:numPr>
          <w:ilvl w:val="0"/>
          <w:numId w:val="1"/>
        </w:numPr>
        <w:shd w:val="clear" w:color="auto" w:fill="FFFFFF"/>
        <w:spacing w:after="270"/>
        <w:rPr>
          <w:rFonts w:cs="Tahoma"/>
          <w:b/>
          <w:color w:val="252525"/>
          <w:sz w:val="22"/>
          <w:szCs w:val="18"/>
        </w:rPr>
      </w:pPr>
      <w:r>
        <w:rPr>
          <w:rFonts w:cs="Tahoma"/>
          <w:b/>
          <w:color w:val="252525"/>
          <w:sz w:val="22"/>
          <w:szCs w:val="18"/>
        </w:rPr>
        <w:t>Gastos de viaje, manutención y alojamiento del personal (ejercicio 202</w:t>
      </w:r>
      <w:r w:rsidR="000A05A7">
        <w:rPr>
          <w:rFonts w:cs="Tahoma"/>
          <w:b/>
          <w:color w:val="252525"/>
          <w:sz w:val="22"/>
          <w:szCs w:val="18"/>
        </w:rPr>
        <w:t>5</w:t>
      </w:r>
      <w:r>
        <w:rPr>
          <w:rFonts w:cs="Tahoma"/>
          <w:b/>
          <w:color w:val="252525"/>
          <w:sz w:val="22"/>
          <w:szCs w:val="18"/>
        </w:rPr>
        <w:t>)</w:t>
      </w:r>
    </w:p>
    <w:p w14:paraId="56D1E713" w14:textId="41B0831D" w:rsidR="00250EF9" w:rsidRDefault="00C725FC">
      <w:pPr>
        <w:shd w:val="clear" w:color="auto" w:fill="FFFFFF"/>
        <w:ind w:left="720"/>
        <w:rPr>
          <w:rFonts w:cs="Tahoma"/>
          <w:color w:val="252525"/>
          <w:sz w:val="22"/>
          <w:szCs w:val="18"/>
        </w:rPr>
      </w:pPr>
      <w:r>
        <w:rPr>
          <w:rFonts w:cs="Tahoma"/>
          <w:color w:val="252525"/>
          <w:sz w:val="22"/>
          <w:szCs w:val="18"/>
        </w:rPr>
        <w:t>Hoteles:</w:t>
      </w:r>
      <w:r>
        <w:rPr>
          <w:rFonts w:cs="Tahoma"/>
          <w:color w:val="252525"/>
          <w:sz w:val="22"/>
          <w:szCs w:val="18"/>
        </w:rPr>
        <w:tab/>
      </w:r>
      <w:r>
        <w:rPr>
          <w:rFonts w:cs="Tahoma"/>
          <w:color w:val="252525"/>
          <w:sz w:val="22"/>
          <w:szCs w:val="18"/>
        </w:rPr>
        <w:tab/>
      </w:r>
      <w:r w:rsidR="006D4549">
        <w:rPr>
          <w:rFonts w:cs="Tahoma"/>
          <w:color w:val="252525"/>
          <w:sz w:val="22"/>
          <w:szCs w:val="18"/>
        </w:rPr>
        <w:t xml:space="preserve">1.517,38 </w:t>
      </w:r>
      <w:r>
        <w:rPr>
          <w:rFonts w:cs="Tahoma"/>
          <w:color w:val="252525"/>
          <w:sz w:val="22"/>
          <w:szCs w:val="18"/>
        </w:rPr>
        <w:t>euros</w:t>
      </w:r>
    </w:p>
    <w:p w14:paraId="4D9AAAB4" w14:textId="1B1420E5" w:rsidR="00250EF9" w:rsidRDefault="00C725FC">
      <w:pPr>
        <w:shd w:val="clear" w:color="auto" w:fill="FFFFFF"/>
        <w:ind w:left="720"/>
        <w:rPr>
          <w:rFonts w:cs="Tahoma"/>
          <w:color w:val="252525"/>
          <w:sz w:val="22"/>
          <w:szCs w:val="18"/>
        </w:rPr>
      </w:pPr>
      <w:r>
        <w:rPr>
          <w:rFonts w:cs="Tahoma"/>
          <w:color w:val="252525"/>
          <w:sz w:val="22"/>
          <w:szCs w:val="18"/>
        </w:rPr>
        <w:t>Billetes:</w:t>
      </w:r>
      <w:r>
        <w:rPr>
          <w:rFonts w:cs="Tahoma"/>
          <w:color w:val="252525"/>
          <w:sz w:val="22"/>
          <w:szCs w:val="18"/>
        </w:rPr>
        <w:tab/>
      </w:r>
      <w:r>
        <w:rPr>
          <w:rFonts w:cs="Tahoma"/>
          <w:color w:val="252525"/>
          <w:sz w:val="22"/>
          <w:szCs w:val="18"/>
        </w:rPr>
        <w:tab/>
      </w:r>
      <w:r w:rsidR="006D4549">
        <w:rPr>
          <w:rFonts w:cs="Tahoma"/>
          <w:color w:val="252525"/>
          <w:sz w:val="22"/>
          <w:szCs w:val="18"/>
        </w:rPr>
        <w:t xml:space="preserve">1.854,39 </w:t>
      </w:r>
      <w:r>
        <w:rPr>
          <w:rFonts w:cs="Tahoma"/>
          <w:color w:val="252525"/>
          <w:sz w:val="22"/>
          <w:szCs w:val="18"/>
        </w:rPr>
        <w:t>euros</w:t>
      </w:r>
    </w:p>
    <w:p w14:paraId="41939D52" w14:textId="36D447F6" w:rsidR="00250EF9" w:rsidRDefault="00C725FC">
      <w:pPr>
        <w:shd w:val="clear" w:color="auto" w:fill="FFFFFF"/>
        <w:ind w:left="720"/>
        <w:rPr>
          <w:rFonts w:cs="Tahoma"/>
          <w:color w:val="252525"/>
          <w:sz w:val="22"/>
          <w:szCs w:val="18"/>
        </w:rPr>
      </w:pPr>
      <w:r>
        <w:rPr>
          <w:rFonts w:cs="Tahoma"/>
          <w:color w:val="252525"/>
          <w:sz w:val="22"/>
          <w:szCs w:val="18"/>
        </w:rPr>
        <w:t>Locomociones:</w:t>
      </w:r>
      <w:r>
        <w:rPr>
          <w:rFonts w:cs="Tahoma"/>
          <w:color w:val="252525"/>
          <w:sz w:val="22"/>
          <w:szCs w:val="18"/>
        </w:rPr>
        <w:tab/>
      </w:r>
      <w:r>
        <w:rPr>
          <w:rFonts w:cs="Tahoma"/>
          <w:color w:val="252525"/>
          <w:sz w:val="22"/>
          <w:szCs w:val="18"/>
        </w:rPr>
        <w:tab/>
      </w:r>
      <w:r w:rsidR="006D4549">
        <w:rPr>
          <w:rFonts w:cs="Tahoma"/>
          <w:color w:val="252525"/>
          <w:sz w:val="22"/>
          <w:szCs w:val="18"/>
        </w:rPr>
        <w:t xml:space="preserve">1.217,78 </w:t>
      </w:r>
      <w:r>
        <w:rPr>
          <w:rFonts w:cs="Tahoma"/>
          <w:color w:val="252525"/>
          <w:sz w:val="22"/>
          <w:szCs w:val="18"/>
        </w:rPr>
        <w:t>euros</w:t>
      </w:r>
    </w:p>
    <w:p w14:paraId="57073C23" w14:textId="64D8D977" w:rsidR="00250EF9" w:rsidRDefault="00C725FC">
      <w:pPr>
        <w:shd w:val="clear" w:color="auto" w:fill="FFFFFF"/>
        <w:ind w:left="720"/>
        <w:rPr>
          <w:rFonts w:cs="Tahoma"/>
          <w:color w:val="252525"/>
          <w:sz w:val="22"/>
          <w:szCs w:val="18"/>
        </w:rPr>
      </w:pPr>
      <w:r>
        <w:rPr>
          <w:rFonts w:cs="Tahoma"/>
          <w:color w:val="252525"/>
          <w:sz w:val="22"/>
          <w:szCs w:val="18"/>
        </w:rPr>
        <w:t>Manutenciones:</w:t>
      </w:r>
      <w:r>
        <w:rPr>
          <w:rFonts w:cs="Tahoma"/>
          <w:color w:val="252525"/>
          <w:sz w:val="22"/>
          <w:szCs w:val="18"/>
        </w:rPr>
        <w:tab/>
      </w:r>
      <w:r w:rsidR="006D4549">
        <w:rPr>
          <w:rFonts w:cs="Tahoma"/>
          <w:color w:val="252525"/>
          <w:sz w:val="22"/>
          <w:szCs w:val="18"/>
        </w:rPr>
        <w:t xml:space="preserve">   724.91 </w:t>
      </w:r>
      <w:r>
        <w:rPr>
          <w:rFonts w:cs="Tahoma"/>
          <w:color w:val="252525"/>
          <w:sz w:val="22"/>
          <w:szCs w:val="18"/>
        </w:rPr>
        <w:t>euros</w:t>
      </w:r>
    </w:p>
    <w:p w14:paraId="4B9AF364" w14:textId="77777777" w:rsidR="00250EF9" w:rsidRDefault="00250EF9">
      <w:pPr>
        <w:shd w:val="clear" w:color="auto" w:fill="FFFFFF"/>
        <w:ind w:left="720"/>
        <w:rPr>
          <w:rFonts w:cs="Tahoma"/>
          <w:color w:val="252525"/>
          <w:sz w:val="22"/>
          <w:szCs w:val="18"/>
        </w:rPr>
      </w:pPr>
    </w:p>
    <w:p w14:paraId="127813A8" w14:textId="54A36A0C" w:rsidR="00250EF9" w:rsidRDefault="00C725FC">
      <w:pPr>
        <w:shd w:val="clear" w:color="auto" w:fill="FFFFFF"/>
        <w:ind w:left="720"/>
        <w:rPr>
          <w:rFonts w:cs="Tahoma"/>
          <w:color w:val="252525"/>
          <w:sz w:val="22"/>
          <w:szCs w:val="18"/>
        </w:rPr>
      </w:pPr>
      <w:proofErr w:type="gramStart"/>
      <w:r>
        <w:rPr>
          <w:rFonts w:cs="Tahoma"/>
          <w:color w:val="252525"/>
          <w:sz w:val="22"/>
          <w:szCs w:val="18"/>
        </w:rPr>
        <w:t>Total</w:t>
      </w:r>
      <w:proofErr w:type="gramEnd"/>
      <w:r>
        <w:rPr>
          <w:rFonts w:cs="Tahoma"/>
          <w:color w:val="252525"/>
          <w:sz w:val="22"/>
          <w:szCs w:val="18"/>
        </w:rPr>
        <w:t xml:space="preserve"> gastos desplazamiento personal: </w:t>
      </w:r>
      <w:r>
        <w:rPr>
          <w:rFonts w:cs="Tahoma"/>
          <w:color w:val="252525"/>
          <w:sz w:val="22"/>
          <w:szCs w:val="18"/>
        </w:rPr>
        <w:tab/>
      </w:r>
      <w:r w:rsidR="006D4549">
        <w:rPr>
          <w:rFonts w:cs="Tahoma"/>
          <w:color w:val="252525"/>
          <w:sz w:val="22"/>
          <w:szCs w:val="18"/>
        </w:rPr>
        <w:t xml:space="preserve">5.317,46 </w:t>
      </w:r>
      <w:r>
        <w:rPr>
          <w:rFonts w:cs="Tahoma"/>
          <w:color w:val="252525"/>
          <w:sz w:val="22"/>
          <w:szCs w:val="18"/>
        </w:rPr>
        <w:t>euros</w:t>
      </w:r>
    </w:p>
    <w:p w14:paraId="2396BCB8" w14:textId="77777777" w:rsidR="00922F26" w:rsidRDefault="00922F26">
      <w:pPr>
        <w:shd w:val="clear" w:color="auto" w:fill="FFFFFF"/>
        <w:ind w:left="720"/>
        <w:rPr>
          <w:rFonts w:cs="Tahoma"/>
          <w:color w:val="252525"/>
          <w:sz w:val="22"/>
          <w:szCs w:val="18"/>
        </w:rPr>
      </w:pPr>
    </w:p>
    <w:p w14:paraId="68D2AA85" w14:textId="77777777" w:rsidR="00250EF9" w:rsidRPr="00922F26" w:rsidRDefault="00922F26" w:rsidP="00922F26">
      <w:pPr>
        <w:shd w:val="clear" w:color="auto" w:fill="FFFFFF"/>
        <w:rPr>
          <w:rFonts w:cs="Tahoma"/>
          <w:color w:val="252525"/>
          <w:sz w:val="22"/>
          <w:szCs w:val="18"/>
        </w:rPr>
      </w:pPr>
      <w:r w:rsidRPr="00922F26">
        <w:rPr>
          <w:rFonts w:cs="Tahoma"/>
          <w:color w:val="252525"/>
          <w:sz w:val="22"/>
          <w:szCs w:val="18"/>
        </w:rPr>
        <w:t>Dichas remuneraciones por asistencias a órganos colegiados o sociales están basadas en la normativa de los estatutos de la sociedad y en la normativa fiscal a tal efecto.</w:t>
      </w:r>
    </w:p>
    <w:p w14:paraId="74E49BB0" w14:textId="0D24BD44" w:rsidR="00250EF9" w:rsidRDefault="007E7498">
      <w:pPr>
        <w:spacing w:before="225" w:after="75"/>
      </w:pPr>
      <w:r>
        <w:rPr>
          <w:noProof/>
        </w:rPr>
        <mc:AlternateContent>
          <mc:Choice Requires="wps">
            <w:drawing>
              <wp:inline distT="0" distB="0" distL="0" distR="0" wp14:anchorId="28C9104E" wp14:editId="7AB85869">
                <wp:extent cx="6486525" cy="95250"/>
                <wp:effectExtent l="0" t="1270" r="3810" b="0"/>
                <wp:docPr id="695854639"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95250"/>
                        </a:xfrm>
                        <a:prstGeom prst="rect">
                          <a:avLst/>
                        </a:prstGeom>
                        <a:solidFill>
                          <a:srgbClr val="2525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xmlns="">
            <w:pict>
              <v:rect w14:anchorId="6FCE8C09" id="Horizontal Line 1" o:spid="_x0000_s1026" style="width:510.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" fillcolor="#252525" stroked="f">
                <v:textbox inset="0,0,0,0"/>
                <w10:anchorlock/>
              </v:rect>
            </w:pict>
          </mc:Fallback>
        </mc:AlternateContent>
      </w:r>
    </w:p>
    <w:p w14:paraId="013593F2" w14:textId="77777777" w:rsidR="00250EF9" w:rsidRDefault="00C725FC">
      <w:pPr>
        <w:shd w:val="clear" w:color="auto" w:fill="FFFFFF"/>
        <w:spacing w:after="270"/>
      </w:pPr>
      <w:r>
        <w:rPr>
          <w:rFonts w:cs="Tahoma"/>
          <w:b/>
          <w:bCs/>
          <w:color w:val="252525"/>
          <w:sz w:val="18"/>
          <w:szCs w:val="18"/>
        </w:rPr>
        <w:t>Responsable:</w:t>
      </w:r>
      <w:r>
        <w:rPr>
          <w:rFonts w:cs="Tahoma"/>
          <w:color w:val="252525"/>
          <w:sz w:val="18"/>
          <w:szCs w:val="18"/>
        </w:rPr>
        <w:t> Mercados Centrales de Abastecimiento de Tenerife (MERCATENERIFE, S.A.).</w:t>
      </w:r>
    </w:p>
    <w:p w14:paraId="7F7958B1" w14:textId="2D1D3D6F" w:rsidR="00250EF9" w:rsidRDefault="00C725FC">
      <w:pPr>
        <w:shd w:val="clear" w:color="auto" w:fill="FFFFFF"/>
        <w:spacing w:after="270"/>
      </w:pPr>
      <w:r>
        <w:rPr>
          <w:rFonts w:cs="Tahoma"/>
          <w:b/>
          <w:bCs/>
          <w:color w:val="252525"/>
          <w:sz w:val="18"/>
          <w:szCs w:val="18"/>
        </w:rPr>
        <w:t>Formato:</w:t>
      </w:r>
      <w:r>
        <w:rPr>
          <w:rFonts w:cs="Tahoma"/>
          <w:color w:val="252525"/>
          <w:sz w:val="18"/>
          <w:szCs w:val="18"/>
        </w:rPr>
        <w:t xml:space="preserve">  PDF / HTML </w:t>
      </w:r>
      <w:proofErr w:type="gramStart"/>
      <w:r>
        <w:rPr>
          <w:rFonts w:cs="Tahoma"/>
          <w:color w:val="252525"/>
          <w:sz w:val="18"/>
          <w:szCs w:val="18"/>
        </w:rPr>
        <w:t>WEB  </w:t>
      </w:r>
      <w:r>
        <w:rPr>
          <w:rFonts w:cs="Tahoma"/>
          <w:b/>
          <w:bCs/>
          <w:color w:val="252525"/>
          <w:sz w:val="18"/>
          <w:szCs w:val="18"/>
        </w:rPr>
        <w:t>Fecha</w:t>
      </w:r>
      <w:proofErr w:type="gramEnd"/>
      <w:r>
        <w:rPr>
          <w:rFonts w:cs="Tahoma"/>
          <w:b/>
          <w:bCs/>
          <w:color w:val="252525"/>
          <w:sz w:val="18"/>
          <w:szCs w:val="18"/>
        </w:rPr>
        <w:t xml:space="preserve"> de Actualización:</w:t>
      </w:r>
      <w:r>
        <w:rPr>
          <w:rFonts w:cs="Tahoma"/>
          <w:color w:val="252525"/>
          <w:sz w:val="18"/>
          <w:szCs w:val="18"/>
        </w:rPr>
        <w:t xml:space="preserve">  </w:t>
      </w:r>
      <w:r w:rsidR="006C0A64">
        <w:rPr>
          <w:rFonts w:cs="Tahoma"/>
          <w:color w:val="252525"/>
          <w:sz w:val="18"/>
          <w:szCs w:val="18"/>
        </w:rPr>
        <w:t>10</w:t>
      </w:r>
      <w:r>
        <w:rPr>
          <w:rFonts w:cs="Tahoma"/>
          <w:color w:val="252525"/>
          <w:sz w:val="18"/>
          <w:szCs w:val="18"/>
        </w:rPr>
        <w:t xml:space="preserve"> de </w:t>
      </w:r>
      <w:r w:rsidR="006C0A64">
        <w:rPr>
          <w:rFonts w:cs="Tahoma"/>
          <w:color w:val="252525"/>
          <w:sz w:val="18"/>
          <w:szCs w:val="18"/>
        </w:rPr>
        <w:t>junio</w:t>
      </w:r>
      <w:r>
        <w:rPr>
          <w:rFonts w:cs="Tahoma"/>
          <w:color w:val="252525"/>
          <w:sz w:val="18"/>
          <w:szCs w:val="18"/>
        </w:rPr>
        <w:t xml:space="preserve"> de 202</w:t>
      </w:r>
      <w:r w:rsidR="006D4549">
        <w:rPr>
          <w:rFonts w:cs="Tahoma"/>
          <w:color w:val="252525"/>
          <w:sz w:val="18"/>
          <w:szCs w:val="18"/>
        </w:rPr>
        <w:t>6</w:t>
      </w:r>
    </w:p>
    <w:p w14:paraId="6D4C7DD4" w14:textId="75CF2B7D" w:rsidR="00250EF9" w:rsidRDefault="00250EF9"/>
    <w:p w14:paraId="3402DD21" w14:textId="77777777" w:rsidR="007E7498" w:rsidRDefault="007E7498"/>
    <w:p w14:paraId="69818DF4" w14:textId="77777777" w:rsidR="007E7498" w:rsidRDefault="007E7498"/>
    <w:p w14:paraId="06597567" w14:textId="77777777" w:rsidR="007E7498" w:rsidRDefault="007E7498"/>
    <w:p w14:paraId="753C4C69" w14:textId="77777777" w:rsidR="007E7498" w:rsidRDefault="007E7498"/>
    <w:p w14:paraId="3BA05270" w14:textId="55232CA9" w:rsidR="007E7498" w:rsidRPr="007E7498" w:rsidRDefault="007E7498" w:rsidP="007E7498">
      <w:pPr>
        <w:shd w:val="clear" w:color="auto" w:fill="FFFFFF"/>
        <w:suppressAutoHyphens w:val="0"/>
        <w:autoSpaceDN/>
        <w:spacing w:after="100" w:afterAutospacing="1"/>
        <w:jc w:val="left"/>
        <w:textAlignment w:val="auto"/>
        <w:outlineLvl w:val="0"/>
        <w:rPr>
          <w:rFonts w:ascii="Arial" w:hAnsi="Arial" w:cs="Arial"/>
          <w:b/>
          <w:bCs/>
          <w:color w:val="000000"/>
          <w:kern w:val="36"/>
          <w:sz w:val="48"/>
          <w:szCs w:val="48"/>
        </w:rPr>
      </w:pPr>
      <w:r>
        <w:rPr>
          <w:rFonts w:ascii="Arial" w:hAnsi="Arial" w:cs="Arial"/>
          <w:b/>
          <w:bCs/>
          <w:color w:val="000000"/>
          <w:kern w:val="36"/>
          <w:sz w:val="48"/>
          <w:szCs w:val="48"/>
        </w:rPr>
        <w:lastRenderedPageBreak/>
        <w:t>Normativa General</w:t>
      </w:r>
    </w:p>
    <w:p w14:paraId="108759F3" w14:textId="77777777" w:rsidR="007E7498" w:rsidRPr="006C0A64" w:rsidRDefault="007E7498" w:rsidP="006C0A64">
      <w:pPr>
        <w:shd w:val="clear" w:color="auto" w:fill="FFFFFF"/>
        <w:rPr>
          <w:rFonts w:cs="Tahoma"/>
          <w:color w:val="252525"/>
          <w:sz w:val="22"/>
          <w:szCs w:val="18"/>
        </w:rPr>
      </w:pPr>
      <w:r w:rsidRPr="006C0A64">
        <w:rPr>
          <w:rFonts w:cs="Tahoma"/>
          <w:color w:val="252525"/>
          <w:sz w:val="22"/>
          <w:szCs w:val="18"/>
        </w:rPr>
        <w:t>Se exceptúan de gravamen y, por lo tanto, no habrán de computarse entre los rendimientos íntegros del trabajo, las cantidades percibidas por el empleado o trabajador en concepto de dietas y asignaciones para gastos de viaje destinadas a compensar los gastos normales de manutención y estancia en restaurantes, hoteles y demás establecimientos de hostelería, de</w:t>
      </w:r>
      <w:r w:rsidRPr="006C0A64">
        <w:rPr>
          <w:rFonts w:cs="Tahoma"/>
          <w:color w:val="252525"/>
          <w:sz w:val="22"/>
          <w:szCs w:val="18"/>
        </w:rPr>
        <w:softHyphen/>
        <w:t>vengadas por gastos en municipio distinto del lugar del trabajo habitual del perceptor y del que constituya su residencia.</w:t>
      </w:r>
    </w:p>
    <w:p w14:paraId="339268CA" w14:textId="77777777" w:rsidR="007E7498" w:rsidRPr="006C0A64" w:rsidRDefault="007E7498" w:rsidP="006C0A64">
      <w:pPr>
        <w:shd w:val="clear" w:color="auto" w:fill="FFFFFF"/>
        <w:rPr>
          <w:rFonts w:cs="Tahoma"/>
          <w:color w:val="252525"/>
          <w:sz w:val="22"/>
          <w:szCs w:val="18"/>
        </w:rPr>
      </w:pPr>
      <w:r w:rsidRPr="006C0A64">
        <w:rPr>
          <w:rFonts w:cs="Tahoma"/>
          <w:color w:val="252525"/>
          <w:sz w:val="22"/>
          <w:szCs w:val="18"/>
        </w:rPr>
        <w:t>Cuando se trate de desplazamiento y permanencia por un período continuado superior a nueve meses en un mismo municipio, no se exceptuarán de gravamen dichas asignaciones. A estos efectos, no se descontará el tiempo de vacaciones, enfermedad u otras circunstancias que no impliquen alteración del destino en un mismo municipio.</w:t>
      </w:r>
    </w:p>
    <w:p w14:paraId="12CAD8FD" w14:textId="77777777" w:rsidR="007E7498" w:rsidRPr="006C0A64" w:rsidRDefault="007E7498" w:rsidP="006C0A64">
      <w:pPr>
        <w:shd w:val="clear" w:color="auto" w:fill="FFFFFF"/>
        <w:rPr>
          <w:rFonts w:cs="Tahoma"/>
          <w:color w:val="252525"/>
          <w:sz w:val="22"/>
          <w:szCs w:val="18"/>
        </w:rPr>
      </w:pPr>
      <w:r w:rsidRPr="006C0A64">
        <w:rPr>
          <w:rFonts w:cs="Tahoma"/>
          <w:color w:val="252525"/>
          <w:sz w:val="22"/>
          <w:szCs w:val="18"/>
        </w:rPr>
        <w:t>Para considerar que dejan de quedar exceptuadas de gravamen las asignaciones para gastos de viaje, el artículo 9.A.3) del Reglamento del IRPF exige que el desplazamiento se realice de forma ininterrumpida, sin solución de continuidad, manteniéndose el desplazamiento por un período superior a nueve meses, con independencia de la actividad que se realice y las características de esta. Criterio fijado por el Tribunal Supremo en la Sentencia núm. 229/2022, de 23 de febrero (ROJ: STS 668/2022).</w:t>
      </w:r>
    </w:p>
    <w:p w14:paraId="43FD47D4" w14:textId="77777777" w:rsidR="007E7498" w:rsidRDefault="007E7498"/>
    <w:p w14:paraId="13A17A90" w14:textId="77777777" w:rsidR="007E7498" w:rsidRPr="007E7498" w:rsidRDefault="007E7498" w:rsidP="007E7498">
      <w:pPr>
        <w:shd w:val="clear" w:color="auto" w:fill="FFFFFF"/>
        <w:suppressAutoHyphens w:val="0"/>
        <w:autoSpaceDN/>
        <w:spacing w:after="100" w:afterAutospacing="1"/>
        <w:jc w:val="left"/>
        <w:textAlignment w:val="auto"/>
        <w:outlineLvl w:val="0"/>
        <w:rPr>
          <w:rFonts w:ascii="Arial" w:hAnsi="Arial" w:cs="Arial"/>
          <w:b/>
          <w:bCs/>
          <w:color w:val="000000"/>
          <w:kern w:val="36"/>
          <w:sz w:val="48"/>
          <w:szCs w:val="48"/>
        </w:rPr>
      </w:pPr>
      <w:r w:rsidRPr="007E7498">
        <w:rPr>
          <w:rFonts w:ascii="Arial" w:hAnsi="Arial" w:cs="Arial"/>
          <w:b/>
          <w:bCs/>
          <w:color w:val="000000"/>
          <w:kern w:val="36"/>
          <w:sz w:val="48"/>
          <w:szCs w:val="48"/>
        </w:rPr>
        <w:t>Gastos de locomoción exceptuados de gravamen</w:t>
      </w:r>
    </w:p>
    <w:p w14:paraId="34E791FF" w14:textId="77777777" w:rsidR="007E7498" w:rsidRDefault="007E7498" w:rsidP="006C0A64">
      <w:pPr>
        <w:shd w:val="clear" w:color="auto" w:fill="FFFFFF"/>
        <w:rPr>
          <w:rFonts w:cs="Tahoma"/>
          <w:color w:val="252525"/>
          <w:sz w:val="22"/>
          <w:szCs w:val="18"/>
        </w:rPr>
      </w:pPr>
      <w:r w:rsidRPr="006C0A64">
        <w:rPr>
          <w:rFonts w:cs="Tahoma"/>
          <w:color w:val="252525"/>
          <w:sz w:val="22"/>
          <w:szCs w:val="18"/>
        </w:rPr>
        <w:t>Se exceptúan de gravamen y, por lo tanto, no habrán de incluirse entre los rendimientos ínte</w:t>
      </w:r>
      <w:r w:rsidRPr="006C0A64">
        <w:rPr>
          <w:rFonts w:cs="Tahoma"/>
          <w:color w:val="252525"/>
          <w:sz w:val="22"/>
          <w:szCs w:val="18"/>
        </w:rPr>
        <w:softHyphen/>
        <w:t>gros del trabajo, las cantidades que, en las condiciones e importes que más adelante se señalan, perciba el empleado o trabajador con la finalidad de compensar los gastos de locomoción ocasionados por el desplazamiento fuera de la fábrica, taller, oficina, o centro de trabajo, para realizar su trabajo en lugar distinto, con independencia de que este último esté situado en el mismo o en distinto municipio que el centro de trabajo habitual.</w:t>
      </w:r>
    </w:p>
    <w:p w14:paraId="681DD379" w14:textId="77777777" w:rsidR="006C0A64" w:rsidRPr="006C0A64" w:rsidRDefault="006C0A64" w:rsidP="006C0A64">
      <w:pPr>
        <w:shd w:val="clear" w:color="auto" w:fill="FFFFFF"/>
        <w:rPr>
          <w:rFonts w:cs="Tahoma"/>
          <w:color w:val="252525"/>
          <w:sz w:val="22"/>
          <w:szCs w:val="18"/>
        </w:rPr>
      </w:pPr>
    </w:p>
    <w:p w14:paraId="32D8B981" w14:textId="77777777" w:rsidR="007E7498" w:rsidRDefault="007E7498" w:rsidP="006C0A64">
      <w:pPr>
        <w:shd w:val="clear" w:color="auto" w:fill="FFFFFF"/>
        <w:rPr>
          <w:rFonts w:cs="Tahoma"/>
          <w:color w:val="252525"/>
          <w:sz w:val="22"/>
          <w:szCs w:val="18"/>
        </w:rPr>
      </w:pPr>
      <w:r w:rsidRPr="006C0A64">
        <w:rPr>
          <w:rFonts w:cs="Tahoma"/>
          <w:color w:val="252525"/>
          <w:sz w:val="22"/>
          <w:szCs w:val="18"/>
        </w:rPr>
        <w:t>Por el contrario, están plenamente sujetas al impuesto, y habrán de ser incluidas en la declara</w:t>
      </w:r>
      <w:r w:rsidRPr="006C0A64">
        <w:rPr>
          <w:rFonts w:cs="Tahoma"/>
          <w:color w:val="252525"/>
          <w:sz w:val="22"/>
          <w:szCs w:val="18"/>
        </w:rPr>
        <w:softHyphen/>
        <w:t>ción como rendimientos íntegros del trabajo, las cantidades percibidas por el desplazamiento del empleado o trabajador desde su domicilio al lugar de trabajo, aun cuando ambos estén situados en distintos municipios.</w:t>
      </w:r>
    </w:p>
    <w:p w14:paraId="41C0482F" w14:textId="77777777" w:rsidR="006C0A64" w:rsidRPr="006C0A64" w:rsidRDefault="006C0A64" w:rsidP="006C0A64">
      <w:pPr>
        <w:shd w:val="clear" w:color="auto" w:fill="FFFFFF"/>
        <w:rPr>
          <w:rFonts w:cs="Tahoma"/>
          <w:color w:val="252525"/>
          <w:sz w:val="22"/>
          <w:szCs w:val="18"/>
        </w:rPr>
      </w:pPr>
    </w:p>
    <w:p w14:paraId="3F5169D9" w14:textId="77777777" w:rsidR="007E7498" w:rsidRDefault="007E7498" w:rsidP="006C0A64">
      <w:pPr>
        <w:shd w:val="clear" w:color="auto" w:fill="FFFFFF"/>
        <w:rPr>
          <w:rFonts w:cs="Tahoma"/>
          <w:color w:val="252525"/>
          <w:sz w:val="22"/>
          <w:szCs w:val="18"/>
        </w:rPr>
      </w:pPr>
      <w:r w:rsidRPr="006C0A64">
        <w:rPr>
          <w:rFonts w:cs="Tahoma"/>
          <w:color w:val="252525"/>
          <w:sz w:val="22"/>
          <w:szCs w:val="18"/>
        </w:rPr>
        <w:t xml:space="preserve">No </w:t>
      </w:r>
      <w:proofErr w:type="gramStart"/>
      <w:r w:rsidRPr="006C0A64">
        <w:rPr>
          <w:rFonts w:cs="Tahoma"/>
          <w:color w:val="252525"/>
          <w:sz w:val="22"/>
          <w:szCs w:val="18"/>
        </w:rPr>
        <w:t>obstante</w:t>
      </w:r>
      <w:proofErr w:type="gramEnd"/>
      <w:r w:rsidRPr="006C0A64">
        <w:rPr>
          <w:rFonts w:cs="Tahoma"/>
          <w:color w:val="252525"/>
          <w:sz w:val="22"/>
          <w:szCs w:val="18"/>
        </w:rPr>
        <w:t xml:space="preserve"> lo anterior, están exentas las cantidades satisfechas a las entidades encargadas de prestar el servicio público de transporte de viajeros para el desplazamiento de los empleados entre su lugar de residencia y el centro de trabajo con el límite de 1.500 euros anuales para cada trabajador, incluidas las fórmulas indirectas de pago que cumplan las condiciones establecidas en el artículo 46 bis del Reglamento del IRPF. Véase esta exención en el apartado "</w:t>
      </w:r>
      <w:hyperlink r:id="rId7" w:history="1">
        <w:r w:rsidRPr="006C0A64">
          <w:rPr>
            <w:rFonts w:cs="Tahoma"/>
            <w:color w:val="252525"/>
            <w:sz w:val="22"/>
            <w:szCs w:val="18"/>
          </w:rPr>
          <w:t>Rendimientos de trabajo en especie exentos</w:t>
        </w:r>
      </w:hyperlink>
      <w:r w:rsidRPr="006C0A64">
        <w:rPr>
          <w:rFonts w:cs="Tahoma"/>
          <w:color w:val="252525"/>
          <w:sz w:val="22"/>
          <w:szCs w:val="18"/>
        </w:rPr>
        <w:t>" de este capítulo.</w:t>
      </w:r>
    </w:p>
    <w:p w14:paraId="32AA1B73" w14:textId="77777777" w:rsidR="006C0A64" w:rsidRPr="006C0A64" w:rsidRDefault="006C0A64" w:rsidP="006C0A64">
      <w:pPr>
        <w:shd w:val="clear" w:color="auto" w:fill="FFFFFF"/>
        <w:rPr>
          <w:rFonts w:cs="Tahoma"/>
          <w:color w:val="252525"/>
          <w:sz w:val="22"/>
          <w:szCs w:val="18"/>
        </w:rPr>
      </w:pPr>
    </w:p>
    <w:p w14:paraId="31567775" w14:textId="77777777" w:rsidR="007E7498" w:rsidRPr="006C0A64" w:rsidRDefault="007E7498" w:rsidP="006C0A64">
      <w:pPr>
        <w:shd w:val="clear" w:color="auto" w:fill="FFFFFF"/>
        <w:rPr>
          <w:rFonts w:cs="Tahoma"/>
          <w:color w:val="252525"/>
          <w:sz w:val="22"/>
          <w:szCs w:val="18"/>
        </w:rPr>
      </w:pPr>
      <w:r w:rsidRPr="006C0A64">
        <w:rPr>
          <w:rFonts w:cs="Tahoma"/>
          <w:color w:val="252525"/>
          <w:sz w:val="22"/>
          <w:szCs w:val="18"/>
        </w:rPr>
        <w:t>Se exceptúan de gravamen y, por lo tanto, no habrán de computarse entre los ingresos pro</w:t>
      </w:r>
      <w:r w:rsidRPr="006C0A64">
        <w:rPr>
          <w:rFonts w:cs="Tahoma"/>
          <w:color w:val="252525"/>
          <w:sz w:val="22"/>
          <w:szCs w:val="18"/>
        </w:rPr>
        <w:softHyphen/>
        <w:t>cedentes del trabajo personal, las cantidades destinadas por la empresa para este fin en las siguientes condiciones e importes:</w:t>
      </w:r>
    </w:p>
    <w:p w14:paraId="5D31A43C" w14:textId="77777777" w:rsidR="007E7498" w:rsidRPr="006C0A64" w:rsidRDefault="007E7498" w:rsidP="006C0A64">
      <w:pPr>
        <w:shd w:val="clear" w:color="auto" w:fill="FFFFFF"/>
        <w:rPr>
          <w:rFonts w:cs="Tahoma"/>
          <w:color w:val="252525"/>
          <w:sz w:val="22"/>
          <w:szCs w:val="18"/>
        </w:rPr>
      </w:pPr>
      <w:r w:rsidRPr="006C0A64">
        <w:rPr>
          <w:rFonts w:cs="Tahoma"/>
          <w:color w:val="252525"/>
          <w:sz w:val="22"/>
          <w:szCs w:val="18"/>
        </w:rPr>
        <w:t>Si el empleado o trabajador utiliza medios de transporte público, el importe del gasto que se justifique mediante factura o documento equivalente.</w:t>
      </w:r>
    </w:p>
    <w:p w14:paraId="54767EBE" w14:textId="77777777" w:rsidR="007E7498" w:rsidRPr="006C0A64" w:rsidRDefault="007E7498" w:rsidP="006C0A64">
      <w:pPr>
        <w:shd w:val="clear" w:color="auto" w:fill="FFFFFF"/>
        <w:rPr>
          <w:rFonts w:cs="Tahoma"/>
          <w:color w:val="252525"/>
          <w:sz w:val="22"/>
          <w:szCs w:val="18"/>
        </w:rPr>
      </w:pPr>
      <w:r w:rsidRPr="006C0A64">
        <w:rPr>
          <w:rFonts w:cs="Tahoma"/>
          <w:color w:val="252525"/>
          <w:sz w:val="22"/>
          <w:szCs w:val="18"/>
        </w:rPr>
        <w:lastRenderedPageBreak/>
        <w:t>En otro caso, siempre que se justifique la realidad del desplazamiento, la cantidad que re</w:t>
      </w:r>
      <w:r w:rsidRPr="006C0A64">
        <w:rPr>
          <w:rFonts w:cs="Tahoma"/>
          <w:color w:val="252525"/>
          <w:sz w:val="22"/>
          <w:szCs w:val="18"/>
        </w:rPr>
        <w:softHyphen/>
        <w:t>sulte de computar 0,26 euros por kilómetro recorrido, más los gastos de peaje y aparcamiento que se justifiquen.</w:t>
      </w:r>
    </w:p>
    <w:p w14:paraId="60E91CE8" w14:textId="77777777" w:rsidR="007E7498" w:rsidRPr="006C0A64" w:rsidRDefault="007E7498" w:rsidP="006C0A64">
      <w:pPr>
        <w:shd w:val="clear" w:color="auto" w:fill="FFFFFF"/>
        <w:ind w:left="720"/>
        <w:rPr>
          <w:rFonts w:cs="Tahoma"/>
          <w:color w:val="252525"/>
          <w:sz w:val="18"/>
          <w:szCs w:val="18"/>
        </w:rPr>
      </w:pPr>
      <w:r w:rsidRPr="006C0A64">
        <w:rPr>
          <w:rFonts w:cs="Tahoma"/>
          <w:color w:val="252525"/>
          <w:sz w:val="18"/>
          <w:szCs w:val="18"/>
        </w:rPr>
        <w:t>Precisión: el artículo único.1 de la Orden HFP/792/2023, de 12 de julio de 2023 (BOE de 17 de julio), con efectos desde el 17 de julio de 2023, elevó de 0,19 euros a 0,26 euros por kilómetro recorrido la cantidad exceptuada de gravamen destinada por la empresa a compensar los gastos de locomoción del empleado o trabajador que se desplace fuera de la fábrica, taller, oficina, o centro de trabajo, para realizar su trabajo en lugar distinto siempre que se justifique la realidad del desplazamiento.</w:t>
      </w:r>
    </w:p>
    <w:p w14:paraId="6B4C742B" w14:textId="77777777" w:rsidR="007E7498" w:rsidRDefault="007E7498"/>
    <w:p w14:paraId="0C7D61B7" w14:textId="77777777" w:rsidR="007E7498" w:rsidRDefault="007E7498"/>
    <w:sectPr w:rsidR="007E7498">
      <w:headerReference w:type="default" r:id="rId8"/>
      <w:footerReference w:type="default" r:id="rId9"/>
      <w:pgSz w:w="11909" w:h="16834"/>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67F8" w14:textId="77777777" w:rsidR="00EA7AC7" w:rsidRDefault="00EA7AC7">
      <w:r>
        <w:separator/>
      </w:r>
    </w:p>
  </w:endnote>
  <w:endnote w:type="continuationSeparator" w:id="0">
    <w:p w14:paraId="5C78AD21" w14:textId="77777777" w:rsidR="00EA7AC7" w:rsidRDefault="00EA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D9A4" w14:textId="77777777" w:rsidR="00C725FC" w:rsidRDefault="00C725FC">
    <w:pPr>
      <w:pStyle w:val="PieLegal"/>
    </w:pPr>
    <w:r>
      <w:t>MERCATENERIFE, S.A. El Mayorazgo Sector 2 38110 Santa Cruz de Tenerife Tel.: 922 22 27 40 Fax: 922 22 27 41</w:t>
    </w:r>
  </w:p>
  <w:p w14:paraId="56113BD3" w14:textId="77777777" w:rsidR="00C725FC" w:rsidRPr="007E7498" w:rsidRDefault="00C725FC">
    <w:pPr>
      <w:pStyle w:val="PieLegal"/>
      <w:rPr>
        <w:lang w:val="pt-PT"/>
      </w:rPr>
    </w:pPr>
    <w:r w:rsidRPr="007E7498">
      <w:rPr>
        <w:lang w:val="pt-PT"/>
      </w:rPr>
      <w:t>CIF: A-38013272  R.M. De Santa Cruz de Tenerife, libro 42, secc.3ª, T.105.F.135;H716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4A11" w14:textId="77777777" w:rsidR="00EA7AC7" w:rsidRDefault="00EA7AC7">
      <w:r>
        <w:rPr>
          <w:color w:val="000000"/>
        </w:rPr>
        <w:separator/>
      </w:r>
    </w:p>
  </w:footnote>
  <w:footnote w:type="continuationSeparator" w:id="0">
    <w:p w14:paraId="51366DF4" w14:textId="77777777" w:rsidR="00EA7AC7" w:rsidRDefault="00EA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284" w:type="dxa"/>
      <w:tblCellMar>
        <w:left w:w="10" w:type="dxa"/>
        <w:right w:w="10" w:type="dxa"/>
      </w:tblCellMar>
      <w:tblLook w:val="0000" w:firstRow="0" w:lastRow="0" w:firstColumn="0" w:lastColumn="0" w:noHBand="0" w:noVBand="0"/>
    </w:tblPr>
    <w:tblGrid>
      <w:gridCol w:w="5368"/>
      <w:gridCol w:w="3938"/>
      <w:gridCol w:w="900"/>
    </w:tblGrid>
    <w:tr w:rsidR="00C725FC" w14:paraId="11BB0E73" w14:textId="77777777">
      <w:tc>
        <w:tcPr>
          <w:tcW w:w="5368" w:type="dxa"/>
          <w:tcBorders>
            <w:bottom w:val="single" w:sz="12" w:space="0" w:color="000080"/>
          </w:tcBorders>
          <w:tcMar>
            <w:top w:w="0" w:type="dxa"/>
            <w:left w:w="0" w:type="dxa"/>
            <w:bottom w:w="0" w:type="dxa"/>
            <w:right w:w="0" w:type="dxa"/>
          </w:tcMar>
        </w:tcPr>
        <w:p w14:paraId="21EDEE86" w14:textId="20F7BB3C" w:rsidR="00C725FC" w:rsidRDefault="007E7498">
          <w:r>
            <w:rPr>
              <w:noProof/>
            </w:rPr>
            <w:drawing>
              <wp:inline distT="0" distB="0" distL="0" distR="0" wp14:anchorId="205C8DEC" wp14:editId="5F001378">
                <wp:extent cx="2876550" cy="762000"/>
                <wp:effectExtent l="0" t="0" r="0" b="0"/>
                <wp:docPr id="3" name="Imagen 1" descr="LogoAzul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zul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62000"/>
                        </a:xfrm>
                        <a:prstGeom prst="rect">
                          <a:avLst/>
                        </a:prstGeom>
                        <a:noFill/>
                        <a:ln>
                          <a:noFill/>
                        </a:ln>
                      </pic:spPr>
                    </pic:pic>
                  </a:graphicData>
                </a:graphic>
              </wp:inline>
            </w:drawing>
          </w:r>
        </w:p>
      </w:tc>
      <w:tc>
        <w:tcPr>
          <w:tcW w:w="3938" w:type="dxa"/>
          <w:tcBorders>
            <w:bottom w:val="single" w:sz="12" w:space="0" w:color="000080"/>
          </w:tcBorders>
          <w:tcMar>
            <w:top w:w="0" w:type="dxa"/>
            <w:left w:w="0" w:type="dxa"/>
            <w:bottom w:w="0" w:type="dxa"/>
            <w:right w:w="0" w:type="dxa"/>
          </w:tcMar>
        </w:tcPr>
        <w:p w14:paraId="3FE44E7D" w14:textId="77777777" w:rsidR="00C725FC" w:rsidRDefault="00C725FC"/>
      </w:tc>
      <w:tc>
        <w:tcPr>
          <w:tcW w:w="900" w:type="dxa"/>
          <w:tcBorders>
            <w:bottom w:val="single" w:sz="12" w:space="0" w:color="000080"/>
          </w:tcBorders>
          <w:tcMar>
            <w:top w:w="0" w:type="dxa"/>
            <w:left w:w="0" w:type="dxa"/>
            <w:bottom w:w="0" w:type="dxa"/>
            <w:right w:w="0" w:type="dxa"/>
          </w:tcMar>
        </w:tcPr>
        <w:p w14:paraId="34A3FA03" w14:textId="7C9D2469" w:rsidR="00C725FC" w:rsidRDefault="007E7498">
          <w:pPr>
            <w:jc w:val="right"/>
          </w:pPr>
          <w:r>
            <w:rPr>
              <w:noProof/>
            </w:rPr>
            <w:drawing>
              <wp:inline distT="0" distB="0" distL="0" distR="0" wp14:anchorId="19BD6C74" wp14:editId="2506454B">
                <wp:extent cx="514350" cy="495300"/>
                <wp:effectExtent l="0" t="0" r="0" b="0"/>
                <wp:docPr id="4" name="Imagen 2" descr="LogoConjunto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ConjuntoPequeñ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95300"/>
                        </a:xfrm>
                        <a:prstGeom prst="rect">
                          <a:avLst/>
                        </a:prstGeom>
                        <a:noFill/>
                        <a:ln>
                          <a:noFill/>
                        </a:ln>
                      </pic:spPr>
                    </pic:pic>
                  </a:graphicData>
                </a:graphic>
              </wp:inline>
            </w:drawing>
          </w:r>
        </w:p>
      </w:tc>
    </w:tr>
  </w:tbl>
  <w:p w14:paraId="5025FE95" w14:textId="77777777" w:rsidR="00C725FC" w:rsidRDefault="00C725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78D5"/>
    <w:multiLevelType w:val="multilevel"/>
    <w:tmpl w:val="A76E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52FC1"/>
    <w:multiLevelType w:val="multilevel"/>
    <w:tmpl w:val="8BA479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515877182">
    <w:abstractNumId w:val="1"/>
  </w:num>
  <w:num w:numId="2" w16cid:durableId="68151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F9"/>
    <w:rsid w:val="000A05A7"/>
    <w:rsid w:val="00250EF9"/>
    <w:rsid w:val="00270C0E"/>
    <w:rsid w:val="00282C62"/>
    <w:rsid w:val="003752DD"/>
    <w:rsid w:val="00574106"/>
    <w:rsid w:val="006C0A64"/>
    <w:rsid w:val="006C177A"/>
    <w:rsid w:val="006D4549"/>
    <w:rsid w:val="0077578B"/>
    <w:rsid w:val="00777558"/>
    <w:rsid w:val="007E7498"/>
    <w:rsid w:val="00922F26"/>
    <w:rsid w:val="00974C4F"/>
    <w:rsid w:val="00A710C9"/>
    <w:rsid w:val="00A94263"/>
    <w:rsid w:val="00C2280E"/>
    <w:rsid w:val="00C725FC"/>
    <w:rsid w:val="00EA7A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AB74F"/>
  <w15:docId w15:val="{784B5FAC-65DD-4D1E-8054-7F62B943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jc w:val="both"/>
      <w:textAlignment w:val="baseline"/>
    </w:pPr>
    <w:rPr>
      <w:rFonts w:ascii="Tahoma" w:hAnsi="Tahoma"/>
    </w:rPr>
  </w:style>
  <w:style w:type="paragraph" w:styleId="Ttulo1">
    <w:name w:val="heading 1"/>
    <w:basedOn w:val="Normal"/>
    <w:next w:val="Normal"/>
    <w:uiPriority w:val="9"/>
    <w:qFormat/>
    <w:pPr>
      <w:keepNext/>
      <w:widowControl w:val="0"/>
      <w:tabs>
        <w:tab w:val="left" w:pos="120"/>
      </w:tabs>
      <w:spacing w:before="94"/>
      <w:outlineLvl w:val="0"/>
    </w:pPr>
    <w:rPr>
      <w:b/>
      <w:color w:val="000000"/>
      <w:sz w:val="28"/>
    </w:rPr>
  </w:style>
  <w:style w:type="paragraph" w:styleId="Ttulo2">
    <w:name w:val="heading 2"/>
    <w:basedOn w:val="Normal"/>
    <w:next w:val="Normal"/>
    <w:uiPriority w:val="9"/>
    <w:semiHidden/>
    <w:unhideWhenUsed/>
    <w:qFormat/>
    <w:pPr>
      <w:keepNext/>
      <w:widowControl w:val="0"/>
      <w:tabs>
        <w:tab w:val="left" w:pos="1133"/>
      </w:tabs>
      <w:spacing w:before="705"/>
      <w:outlineLvl w:val="1"/>
    </w:pPr>
    <w:rPr>
      <w:b/>
      <w:sz w:val="24"/>
    </w:rPr>
  </w:style>
  <w:style w:type="paragraph" w:styleId="Ttulo3">
    <w:name w:val="heading 3"/>
    <w:basedOn w:val="Normal"/>
    <w:next w:val="Normal"/>
    <w:uiPriority w:val="9"/>
    <w:semiHidden/>
    <w:unhideWhenUsed/>
    <w:qFormat/>
    <w:pPr>
      <w:keepNext/>
      <w:spacing w:before="240"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
    <w:name w:val="Pie"/>
    <w:basedOn w:val="Normal"/>
    <w:pPr>
      <w:jc w:val="center"/>
    </w:pPr>
    <w:rPr>
      <w:rFonts w:cs="Tahoma"/>
      <w:color w:val="000080"/>
      <w:sz w:val="16"/>
      <w:szCs w:val="16"/>
    </w:rPr>
  </w:style>
  <w:style w:type="paragraph" w:styleId="Encabezado">
    <w:name w:val="header"/>
    <w:basedOn w:val="Normal"/>
    <w:next w:val="Normal"/>
    <w:pPr>
      <w:tabs>
        <w:tab w:val="center" w:pos="4252"/>
        <w:tab w:val="right" w:pos="8504"/>
      </w:tabs>
      <w:ind w:left="-284"/>
    </w:pPr>
    <w:rPr>
      <w:rFonts w:ascii="Arial Black" w:hAnsi="Arial Black"/>
      <w:spacing w:val="-80"/>
      <w:kern w:val="3"/>
      <w:sz w:val="96"/>
      <w:szCs w:val="96"/>
    </w:rPr>
  </w:style>
  <w:style w:type="paragraph" w:customStyle="1" w:styleId="Rtulo">
    <w:name w:val="Rótulo"/>
    <w:next w:val="Normal"/>
    <w:pPr>
      <w:suppressAutoHyphens/>
      <w:autoSpaceDN w:val="0"/>
      <w:textAlignment w:val="baseline"/>
    </w:pPr>
    <w:rPr>
      <w:rFonts w:ascii="Arial Black" w:hAnsi="Arial Black" w:cs="Arial"/>
      <w:spacing w:val="-5"/>
      <w:sz w:val="18"/>
    </w:rPr>
  </w:style>
  <w:style w:type="character" w:customStyle="1" w:styleId="RtuloCar">
    <w:name w:val="Rótulo Car"/>
    <w:rPr>
      <w:rFonts w:ascii="Arial Black" w:hAnsi="Arial Black" w:cs="Arial"/>
      <w:spacing w:val="-5"/>
      <w:sz w:val="18"/>
      <w:lang w:val="es-ES" w:eastAsia="es-ES" w:bidi="ar-SA"/>
    </w:rPr>
  </w:style>
  <w:style w:type="paragraph" w:styleId="Piedepgina">
    <w:name w:val="footer"/>
    <w:basedOn w:val="Normal"/>
    <w:pPr>
      <w:tabs>
        <w:tab w:val="center" w:pos="4252"/>
        <w:tab w:val="right" w:pos="8504"/>
      </w:tabs>
    </w:pPr>
  </w:style>
  <w:style w:type="paragraph" w:customStyle="1" w:styleId="PieLegal">
    <w:name w:val="Pie Legal"/>
    <w:basedOn w:val="Pie"/>
    <w:pPr>
      <w:ind w:left="-284" w:right="-284"/>
    </w:pPr>
  </w:style>
  <w:style w:type="paragraph" w:customStyle="1" w:styleId="body1">
    <w:name w:val="body1"/>
    <w:basedOn w:val="Normal"/>
    <w:pPr>
      <w:jc w:val="left"/>
    </w:pPr>
    <w:rPr>
      <w:rFonts w:ascii="Times New Roman" w:hAnsi="Times New Roman"/>
      <w:color w:val="000000"/>
    </w:rPr>
  </w:style>
  <w:style w:type="paragraph" w:styleId="NormalWeb">
    <w:name w:val="Normal (Web)"/>
    <w:basedOn w:val="Normal"/>
    <w:pPr>
      <w:jc w:val="left"/>
    </w:pPr>
    <w:rPr>
      <w:rFonts w:ascii="Times New Roman" w:hAnsi="Times New Roman"/>
      <w:sz w:val="24"/>
      <w:szCs w:val="24"/>
    </w:rPr>
  </w:style>
  <w:style w:type="paragraph" w:styleId="Prrafodelista">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742">
      <w:bodyDiv w:val="1"/>
      <w:marLeft w:val="0"/>
      <w:marRight w:val="0"/>
      <w:marTop w:val="0"/>
      <w:marBottom w:val="0"/>
      <w:divBdr>
        <w:top w:val="none" w:sz="0" w:space="0" w:color="auto"/>
        <w:left w:val="none" w:sz="0" w:space="0" w:color="auto"/>
        <w:bottom w:val="none" w:sz="0" w:space="0" w:color="auto"/>
        <w:right w:val="none" w:sz="0" w:space="0" w:color="auto"/>
      </w:divBdr>
    </w:div>
    <w:div w:id="26615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de.agenciatributaria.gob.es/Sede/ayuda/manuales-videos-folletos/manuales-practicos/irpf-2024/c03-rendimientos-trabajo/rendimientos-trabajo-especie/rendimientos-trabajo-especie-exentos/transporte-colectivo-emplead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849</Words>
  <Characters>4672</Characters>
  <DocSecurity>0</DocSecurity>
  <Lines>38</Lines>
  <Paragraphs>11</Paragraphs>
  <ScaleCrop>false</ScaleCrop>
  <HeadingPairs>
    <vt:vector size="2" baseType="variant">
      <vt:variant>
        <vt:lpstr>Título</vt:lpstr>
      </vt:variant>
      <vt:variant>
        <vt:i4>1</vt:i4>
      </vt:variant>
    </vt:vector>
  </HeadingPairs>
  <TitlesOfParts>
    <vt:vector size="1" baseType="lpstr">
      <vt:lpstr>RETRIBUCIONES</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2022-04-25T12:47:00Z</cp:lastPrinted>
  <dcterms:created xsi:type="dcterms:W3CDTF">2026-06-23T07:57:00Z</dcterms:created>
  <dcterms:modified xsi:type="dcterms:W3CDTF">2026-06-23T09:13:00Z</dcterms:modified>
</cp:coreProperties>
</file>