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6FA3" w14:textId="32FB77EC" w:rsidR="00D56F0C" w:rsidRDefault="0067192E" w:rsidP="00D56F0C">
      <w:pPr>
        <w:tabs>
          <w:tab w:val="left" w:pos="3060"/>
        </w:tabs>
        <w:jc w:val="center"/>
        <w:rPr>
          <w:rFonts w:ascii="Century Gothic" w:hAnsi="Century Gothic"/>
          <w:b/>
          <w:bCs/>
          <w:sz w:val="22"/>
          <w:szCs w:val="22"/>
        </w:rPr>
      </w:pPr>
      <w:r>
        <w:rPr>
          <w:rFonts w:cs="Tahoma"/>
          <w:b/>
          <w:sz w:val="24"/>
          <w:szCs w:val="24"/>
        </w:rPr>
        <w:t>1</w:t>
      </w:r>
      <w:r w:rsidR="00D56F0C">
        <w:rPr>
          <w:rFonts w:cs="Tahoma"/>
          <w:b/>
          <w:sz w:val="24"/>
          <w:szCs w:val="24"/>
        </w:rPr>
        <w:t>00</w:t>
      </w:r>
      <w:r>
        <w:rPr>
          <w:rFonts w:cs="Tahoma"/>
          <w:b/>
          <w:sz w:val="24"/>
          <w:szCs w:val="24"/>
        </w:rPr>
        <w:t xml:space="preserve">1 </w:t>
      </w:r>
      <w:r w:rsidR="00D56F0C" w:rsidRPr="00D56F0C">
        <w:rPr>
          <w:rFonts w:cs="Tahoma"/>
          <w:b/>
          <w:bCs/>
          <w:sz w:val="22"/>
          <w:szCs w:val="22"/>
        </w:rPr>
        <w:t>INFORMACIÓN GENERAL DE LA ENTIDAD: INFORMACIÓN INSTITUCIONAL, HISTÓRICA, GEOGRÁFICA, SOCIAL, ECONÓMICA Y CULTURAL MÁS RELEVANTE</w:t>
      </w:r>
    </w:p>
    <w:p w14:paraId="3AB5B8D1" w14:textId="03C78F58" w:rsidR="00AE7AB8" w:rsidRDefault="00AE7AB8">
      <w:pPr>
        <w:rPr>
          <w:rFonts w:cs="Tahoma"/>
          <w:b/>
          <w:sz w:val="24"/>
          <w:szCs w:val="24"/>
        </w:rPr>
      </w:pPr>
    </w:p>
    <w:p w14:paraId="2BB1730A" w14:textId="14A0C4CB" w:rsidR="006B533A" w:rsidRPr="006B533A" w:rsidRDefault="006B533A" w:rsidP="006B533A">
      <w:pPr>
        <w:jc w:val="right"/>
        <w:rPr>
          <w:rFonts w:cs="Tahoma"/>
          <w:sz w:val="24"/>
          <w:szCs w:val="24"/>
        </w:rPr>
      </w:pPr>
      <w:r w:rsidRPr="006B533A">
        <w:rPr>
          <w:rFonts w:cs="Tahoma"/>
          <w:b/>
          <w:bCs/>
          <w:sz w:val="24"/>
          <w:szCs w:val="24"/>
        </w:rPr>
        <w:t>Fecha de realización:</w:t>
      </w:r>
      <w:r w:rsidRPr="006B533A">
        <w:rPr>
          <w:rFonts w:cs="Tahoma"/>
          <w:sz w:val="24"/>
          <w:szCs w:val="24"/>
        </w:rPr>
        <w:t xml:space="preserve"> </w:t>
      </w:r>
      <w:r>
        <w:rPr>
          <w:rFonts w:cs="Tahoma"/>
          <w:sz w:val="24"/>
          <w:szCs w:val="24"/>
        </w:rPr>
        <w:t>01</w:t>
      </w:r>
      <w:r w:rsidRPr="006B533A">
        <w:rPr>
          <w:rFonts w:cs="Tahoma"/>
          <w:sz w:val="24"/>
          <w:szCs w:val="24"/>
        </w:rPr>
        <w:t xml:space="preserve"> de junio de 2026</w:t>
      </w:r>
    </w:p>
    <w:p w14:paraId="519711B6" w14:textId="77777777" w:rsidR="006B533A" w:rsidRDefault="006B533A" w:rsidP="006B533A">
      <w:pPr>
        <w:jc w:val="right"/>
        <w:rPr>
          <w:rFonts w:cs="Tahoma"/>
          <w:sz w:val="24"/>
          <w:szCs w:val="24"/>
        </w:rPr>
      </w:pPr>
      <w:r w:rsidRPr="006B533A">
        <w:rPr>
          <w:rFonts w:cs="Tahoma"/>
          <w:b/>
          <w:bCs/>
          <w:sz w:val="24"/>
          <w:szCs w:val="24"/>
        </w:rPr>
        <w:t>Última actualización:</w:t>
      </w:r>
      <w:r w:rsidRPr="006B533A">
        <w:rPr>
          <w:rFonts w:cs="Tahoma"/>
          <w:sz w:val="24"/>
          <w:szCs w:val="24"/>
        </w:rPr>
        <w:t xml:space="preserve"> 22 de junio de 2026</w:t>
      </w:r>
    </w:p>
    <w:p w14:paraId="1E2FD2AA" w14:textId="77777777" w:rsidR="006B533A" w:rsidRDefault="006B533A">
      <w:pPr>
        <w:rPr>
          <w:rFonts w:cs="Tahoma"/>
          <w:b/>
          <w:sz w:val="24"/>
          <w:szCs w:val="24"/>
        </w:rPr>
      </w:pPr>
    </w:p>
    <w:p w14:paraId="4A408B7E" w14:textId="77777777" w:rsidR="006B533A" w:rsidRDefault="006B533A" w:rsidP="006B533A">
      <w:pPr>
        <w:rPr>
          <w:rFonts w:cs="Tahoma"/>
          <w:sz w:val="24"/>
          <w:szCs w:val="24"/>
        </w:rPr>
      </w:pPr>
    </w:p>
    <w:p w14:paraId="08CB1C7C" w14:textId="6441C572" w:rsidR="006B533A" w:rsidRPr="006B533A" w:rsidRDefault="006B533A" w:rsidP="006B533A">
      <w:pPr>
        <w:rPr>
          <w:rFonts w:cs="Tahoma"/>
          <w:sz w:val="24"/>
          <w:szCs w:val="24"/>
        </w:rPr>
      </w:pPr>
      <w:r w:rsidRPr="006B533A">
        <w:rPr>
          <w:rFonts w:cs="Tahoma"/>
          <w:b/>
          <w:bCs/>
          <w:sz w:val="24"/>
          <w:szCs w:val="24"/>
        </w:rPr>
        <w:t>CIF:</w:t>
      </w:r>
      <w:r w:rsidRPr="006B533A">
        <w:rPr>
          <w:rFonts w:cs="Tahoma"/>
          <w:sz w:val="24"/>
          <w:szCs w:val="24"/>
        </w:rPr>
        <w:t xml:space="preserve"> A-38013272</w:t>
      </w:r>
      <w:r>
        <w:rPr>
          <w:rFonts w:cs="Tahoma"/>
          <w:sz w:val="24"/>
          <w:szCs w:val="24"/>
        </w:rPr>
        <w:t xml:space="preserve"> </w:t>
      </w:r>
      <w:r>
        <w:rPr>
          <w:rFonts w:cs="Tahoma"/>
          <w:sz w:val="24"/>
          <w:szCs w:val="24"/>
        </w:rPr>
        <w:tab/>
      </w:r>
      <w:r>
        <w:rPr>
          <w:rFonts w:cs="Tahoma"/>
          <w:sz w:val="24"/>
          <w:szCs w:val="24"/>
        </w:rPr>
        <w:tab/>
        <w:t xml:space="preserve"> </w:t>
      </w:r>
      <w:r w:rsidRPr="006B533A">
        <w:rPr>
          <w:rFonts w:cs="Tahoma"/>
          <w:sz w:val="24"/>
          <w:szCs w:val="24"/>
        </w:rPr>
        <w:t>51 años de historia (1974–2025)</w:t>
      </w:r>
    </w:p>
    <w:p w14:paraId="4FBD5532" w14:textId="73107259" w:rsidR="006B533A" w:rsidRPr="006B533A" w:rsidRDefault="006B533A" w:rsidP="006B533A">
      <w:pPr>
        <w:rPr>
          <w:rFonts w:cs="Tahoma"/>
          <w:sz w:val="24"/>
          <w:szCs w:val="24"/>
        </w:rPr>
      </w:pPr>
    </w:p>
    <w:p w14:paraId="2D7A4957" w14:textId="572B704E" w:rsidR="006B533A" w:rsidRPr="006B533A" w:rsidRDefault="006B533A" w:rsidP="006B533A">
      <w:pPr>
        <w:rPr>
          <w:rFonts w:cs="Tahoma"/>
          <w:sz w:val="24"/>
          <w:szCs w:val="24"/>
        </w:rPr>
      </w:pPr>
      <w:r w:rsidRPr="006B533A">
        <w:rPr>
          <w:rFonts w:cs="Tahoma"/>
          <w:sz w:val="24"/>
          <w:szCs w:val="24"/>
        </w:rPr>
        <w:t>R</w:t>
      </w:r>
      <w:r>
        <w:rPr>
          <w:rFonts w:cs="Tahoma"/>
          <w:sz w:val="24"/>
          <w:szCs w:val="24"/>
        </w:rPr>
        <w:t>egistro Mercantil</w:t>
      </w:r>
      <w:r w:rsidRPr="006B533A">
        <w:rPr>
          <w:rFonts w:cs="Tahoma"/>
          <w:sz w:val="24"/>
          <w:szCs w:val="24"/>
        </w:rPr>
        <w:t xml:space="preserve"> de Santa Cruz de Tenerife, libro 42, secc. 3ª, T.105, F.135, H.716</w:t>
      </w:r>
    </w:p>
    <w:p w14:paraId="61676AB9" w14:textId="77777777" w:rsidR="006B533A" w:rsidRDefault="006B533A" w:rsidP="006B533A">
      <w:pPr>
        <w:rPr>
          <w:rFonts w:cs="Tahoma"/>
          <w:sz w:val="24"/>
          <w:szCs w:val="24"/>
        </w:rPr>
      </w:pPr>
    </w:p>
    <w:p w14:paraId="475C50D8" w14:textId="3924F12E" w:rsidR="006B533A" w:rsidRDefault="006B533A" w:rsidP="006B533A">
      <w:pPr>
        <w:rPr>
          <w:rFonts w:cs="Tahoma"/>
          <w:sz w:val="24"/>
          <w:szCs w:val="24"/>
        </w:rPr>
      </w:pPr>
      <w:r w:rsidRPr="006B533A">
        <w:rPr>
          <w:rFonts w:cs="Tahoma"/>
          <w:b/>
          <w:bCs/>
          <w:sz w:val="24"/>
          <w:szCs w:val="24"/>
        </w:rPr>
        <w:t>Domicilio social:</w:t>
      </w:r>
      <w:r w:rsidRPr="006B533A">
        <w:rPr>
          <w:rFonts w:cs="Tahoma"/>
          <w:sz w:val="24"/>
          <w:szCs w:val="24"/>
        </w:rPr>
        <w:t xml:space="preserve"> El Mayorazgo, Sector 2</w:t>
      </w:r>
      <w:r>
        <w:rPr>
          <w:rFonts w:cs="Tahoma"/>
          <w:sz w:val="24"/>
          <w:szCs w:val="24"/>
        </w:rPr>
        <w:t xml:space="preserve"> s/n</w:t>
      </w:r>
      <w:r w:rsidRPr="006B533A">
        <w:rPr>
          <w:rFonts w:cs="Tahoma"/>
          <w:sz w:val="24"/>
          <w:szCs w:val="24"/>
        </w:rPr>
        <w:t xml:space="preserve"> — 38</w:t>
      </w:r>
      <w:r>
        <w:rPr>
          <w:rFonts w:cs="Tahoma"/>
          <w:sz w:val="24"/>
          <w:szCs w:val="24"/>
        </w:rPr>
        <w:t>110</w:t>
      </w:r>
      <w:r w:rsidRPr="006B533A">
        <w:rPr>
          <w:rFonts w:cs="Tahoma"/>
          <w:sz w:val="24"/>
          <w:szCs w:val="24"/>
        </w:rPr>
        <w:t xml:space="preserve"> Santa Cruz de Tenerife</w:t>
      </w:r>
    </w:p>
    <w:p w14:paraId="26B40C1F" w14:textId="77777777" w:rsidR="006B533A" w:rsidRPr="006B533A" w:rsidRDefault="006B533A" w:rsidP="006B533A">
      <w:pPr>
        <w:rPr>
          <w:rFonts w:cs="Tahoma"/>
          <w:sz w:val="24"/>
          <w:szCs w:val="24"/>
        </w:rPr>
      </w:pPr>
    </w:p>
    <w:p w14:paraId="1B9C2E51" w14:textId="77777777" w:rsidR="006B533A" w:rsidRDefault="006B533A" w:rsidP="006B533A">
      <w:pPr>
        <w:spacing w:after="600"/>
      </w:pPr>
      <w:r>
        <w:rPr>
          <w:i/>
          <w:iCs/>
          <w:color w:val="595959"/>
          <w:sz w:val="18"/>
          <w:szCs w:val="18"/>
        </w:rPr>
        <w:t>Contenido elaborado conforme al indicador 1001 (“Información general de la entidad: institucional, histórica, geográfica, social, económica y cultural”) de la Ley 12/2014, de 26 de diciembre, de transparencia y acceso a la información pública de la Comunidad Autónoma de Canarias, evaluado por el Comisionado de Transparencia y Acceso a la Información Pública de Canarias.</w:t>
      </w:r>
    </w:p>
    <w:p w14:paraId="40F7E3E5" w14:textId="77777777" w:rsidR="006B533A" w:rsidRDefault="006B533A">
      <w:pPr>
        <w:rPr>
          <w:rFonts w:cs="Tahoma"/>
          <w:sz w:val="24"/>
          <w:szCs w:val="24"/>
        </w:rPr>
      </w:pPr>
    </w:p>
    <w:p w14:paraId="4FD54FE6" w14:textId="77777777" w:rsidR="006B533A" w:rsidRDefault="006B533A">
      <w:pPr>
        <w:suppressAutoHyphens w:val="0"/>
        <w:jc w:val="left"/>
        <w:textAlignment w:val="auto"/>
        <w:rPr>
          <w:rStyle w:val="Textoennegrita"/>
          <w:rFonts w:cs="Tahoma"/>
          <w:color w:val="252525"/>
          <w:sz w:val="24"/>
          <w:szCs w:val="24"/>
        </w:rPr>
      </w:pPr>
      <w:r>
        <w:rPr>
          <w:rStyle w:val="Textoennegrita"/>
          <w:rFonts w:cs="Tahoma"/>
          <w:color w:val="252525"/>
        </w:rPr>
        <w:br w:type="page"/>
      </w:r>
    </w:p>
    <w:p w14:paraId="3AB5B8D3" w14:textId="2AED7F93" w:rsidR="00AE7AB8" w:rsidRPr="00DC3D3A" w:rsidRDefault="006B533A" w:rsidP="00DC3D3A">
      <w:pPr>
        <w:pStyle w:val="Subttulo"/>
        <w:numPr>
          <w:ilvl w:val="0"/>
          <w:numId w:val="5"/>
        </w:numPr>
        <w:rPr>
          <w:sz w:val="28"/>
          <w:szCs w:val="28"/>
        </w:rPr>
      </w:pPr>
      <w:r w:rsidRPr="00DC3D3A">
        <w:rPr>
          <w:rStyle w:val="Textoennegrita"/>
          <w:rFonts w:ascii="Tahoma" w:hAnsi="Tahoma" w:cs="Tahoma"/>
          <w:color w:val="252525"/>
          <w:sz w:val="28"/>
          <w:szCs w:val="28"/>
        </w:rPr>
        <w:t>Información Institucional</w:t>
      </w:r>
      <w:r w:rsidR="00567DED" w:rsidRPr="00DC3D3A">
        <w:rPr>
          <w:rStyle w:val="Textoennegrita"/>
          <w:rFonts w:ascii="Tahoma" w:hAnsi="Tahoma" w:cs="Tahoma"/>
          <w:color w:val="252525"/>
          <w:sz w:val="28"/>
          <w:szCs w:val="28"/>
        </w:rPr>
        <w:t>.</w:t>
      </w:r>
    </w:p>
    <w:p w14:paraId="4F4CEC9F" w14:textId="77777777" w:rsidR="00567DED" w:rsidRDefault="00567DED" w:rsidP="00567DED">
      <w:pPr>
        <w:rPr>
          <w:rStyle w:val="Textoennegrita"/>
          <w:rFonts w:cs="Tahoma"/>
          <w:b w:val="0"/>
          <w:bCs w:val="0"/>
          <w:color w:val="252525"/>
          <w:sz w:val="24"/>
          <w:szCs w:val="24"/>
        </w:rPr>
      </w:pPr>
      <w:r w:rsidRPr="00567DED">
        <w:rPr>
          <w:rStyle w:val="Textoennegrita"/>
          <w:rFonts w:cs="Tahoma"/>
          <w:b w:val="0"/>
          <w:bCs w:val="0"/>
          <w:color w:val="252525"/>
          <w:sz w:val="24"/>
          <w:szCs w:val="24"/>
        </w:rPr>
        <w:t>MERCATENERIFE, S.A. es una empresa pública mercantil dependiente del Cabildo Insular de Tenerife e integrada en la red nacional de Mercas que coordina MERCASA. Su objeto social es la gestión del mercado central de abastecimiento de frutas, hortalizas y papas de la isla de Tenerife, ubicado en El Mayorazgo (Santa Cruz de Tenerife), garantizando un sistema ordenado, eficiente y transparente de comercialización mayorista de productos agroalimentarios frescos.</w:t>
      </w:r>
    </w:p>
    <w:p w14:paraId="6D1C35F5" w14:textId="77777777" w:rsidR="00567DED" w:rsidRPr="00567DED" w:rsidRDefault="00567DED" w:rsidP="00567DED">
      <w:pPr>
        <w:rPr>
          <w:rStyle w:val="Textoennegrita"/>
          <w:rFonts w:cs="Tahoma"/>
          <w:b w:val="0"/>
          <w:bCs w:val="0"/>
          <w:color w:val="252525"/>
          <w:sz w:val="24"/>
          <w:szCs w:val="24"/>
        </w:rPr>
      </w:pPr>
    </w:p>
    <w:p w14:paraId="551E5E83" w14:textId="77777777" w:rsidR="00567DED" w:rsidRDefault="00567DED" w:rsidP="00567DED">
      <w:pPr>
        <w:rPr>
          <w:rStyle w:val="Textoennegrita"/>
          <w:rFonts w:cs="Tahoma"/>
          <w:b w:val="0"/>
          <w:bCs w:val="0"/>
          <w:color w:val="252525"/>
          <w:sz w:val="24"/>
          <w:szCs w:val="24"/>
        </w:rPr>
      </w:pPr>
      <w:r w:rsidRPr="00567DED">
        <w:rPr>
          <w:rStyle w:val="Textoennegrita"/>
          <w:rFonts w:cs="Tahoma"/>
          <w:b w:val="0"/>
          <w:bCs w:val="0"/>
          <w:color w:val="252525"/>
          <w:sz w:val="24"/>
          <w:szCs w:val="24"/>
        </w:rPr>
        <w:t>A diferencia de otras unidades de la Red de Mercas, MERCATENERIFE presenta rasgos propios derivados de su carácter insular: gestiona en exclusiva el mercado de fruta, hortaliza y papa (sin mercados de carne ni de pescado), no percibe ingresos por entrada de vehículos, obtiene ingresos propios por la tasa de recogida selectiva y el alquiler de cubiertas, y opera bajo el régimen fiscal canario (IGIC en lugar de IVA y, en su caso, tributación reducida del 4 % en el Impuesto de Sociedades dentro de la Zona Especial Canaria, frente al 25 % del régimen general).</w:t>
      </w:r>
    </w:p>
    <w:p w14:paraId="62E6056B" w14:textId="77777777" w:rsidR="00567DED" w:rsidRPr="00567DED" w:rsidRDefault="00567DED" w:rsidP="00567DED">
      <w:pPr>
        <w:rPr>
          <w:rStyle w:val="Textoennegrita"/>
          <w:rFonts w:cs="Tahoma"/>
          <w:b w:val="0"/>
          <w:bCs w:val="0"/>
          <w:color w:val="252525"/>
          <w:sz w:val="24"/>
          <w:szCs w:val="24"/>
        </w:rPr>
      </w:pPr>
    </w:p>
    <w:p w14:paraId="091C9DC3" w14:textId="77777777" w:rsidR="00567DED" w:rsidRDefault="00567DED" w:rsidP="00567DED">
      <w:pPr>
        <w:rPr>
          <w:rStyle w:val="Textoennegrita"/>
          <w:rFonts w:cs="Tahoma"/>
          <w:b w:val="0"/>
          <w:bCs w:val="0"/>
          <w:color w:val="252525"/>
          <w:sz w:val="24"/>
          <w:szCs w:val="24"/>
        </w:rPr>
      </w:pPr>
      <w:r w:rsidRPr="00567DED">
        <w:rPr>
          <w:rStyle w:val="Textoennegrita"/>
          <w:rFonts w:cs="Tahoma"/>
          <w:b w:val="0"/>
          <w:bCs w:val="0"/>
          <w:color w:val="252525"/>
          <w:sz w:val="24"/>
          <w:szCs w:val="24"/>
        </w:rPr>
        <w:t xml:space="preserve">Como sociedad sujeta a la condición de </w:t>
      </w:r>
      <w:r w:rsidRPr="00567DED">
        <w:rPr>
          <w:rStyle w:val="Textoennegrita"/>
          <w:rFonts w:cs="Tahoma"/>
          <w:color w:val="252525"/>
          <w:sz w:val="24"/>
          <w:szCs w:val="24"/>
        </w:rPr>
        <w:t>Poder Adjudicador No Administración Pública (PANAP)</w:t>
      </w:r>
      <w:r w:rsidRPr="00567DED">
        <w:rPr>
          <w:rStyle w:val="Textoennegrita"/>
          <w:rFonts w:cs="Tahoma"/>
          <w:b w:val="0"/>
          <w:bCs w:val="0"/>
          <w:color w:val="252525"/>
          <w:sz w:val="24"/>
          <w:szCs w:val="24"/>
        </w:rPr>
        <w:t>, su actividad se rige por la normativa de contratación del sector público, por la Ley 12/2014, de 26 de diciembre, de transparencia y acceso a la información pública de la Comunidad Autónoma de Canarias, y por el resto de normativa aplicable a las entidades vinculadas al sector público insular.</w:t>
      </w:r>
    </w:p>
    <w:p w14:paraId="73D303E3" w14:textId="77777777" w:rsidR="00567DED" w:rsidRPr="00567DED" w:rsidRDefault="00567DED" w:rsidP="00567DED">
      <w:pPr>
        <w:rPr>
          <w:rStyle w:val="Textoennegrita"/>
          <w:rFonts w:cs="Tahoma"/>
          <w:b w:val="0"/>
          <w:bCs w:val="0"/>
          <w:color w:val="252525"/>
          <w:sz w:val="24"/>
          <w:szCs w:val="24"/>
        </w:rPr>
      </w:pPr>
    </w:p>
    <w:p w14:paraId="75E8F8CF" w14:textId="77777777" w:rsidR="00567DED" w:rsidRDefault="00567DED" w:rsidP="00567DED">
      <w:pPr>
        <w:rPr>
          <w:rStyle w:val="Textoennegrita"/>
          <w:rFonts w:cs="Tahoma"/>
          <w:b w:val="0"/>
          <w:bCs w:val="0"/>
          <w:color w:val="252525"/>
          <w:sz w:val="24"/>
          <w:szCs w:val="24"/>
        </w:rPr>
      </w:pPr>
      <w:r w:rsidRPr="00567DED">
        <w:rPr>
          <w:rStyle w:val="Textoennegrita"/>
          <w:rFonts w:cs="Tahoma"/>
          <w:b w:val="0"/>
          <w:bCs w:val="0"/>
          <w:color w:val="252525"/>
          <w:sz w:val="24"/>
          <w:szCs w:val="24"/>
        </w:rPr>
        <w:t>La estructura de personal es reducida y altamente estable: 13 personas en plantilla (7 en explotación, 3 en mantenimiento y 3 en administración-gerencia), el 100 % con contrato indefinido y un índice de absentismo del 0 %, sin bajas de larga duración ni ausencias por motivos no justificados.</w:t>
      </w:r>
    </w:p>
    <w:p w14:paraId="6AAC1867" w14:textId="77777777" w:rsidR="00567DED" w:rsidRPr="00567DED" w:rsidRDefault="00567DED" w:rsidP="00567DED">
      <w:pPr>
        <w:rPr>
          <w:rStyle w:val="Textoennegrita"/>
          <w:rFonts w:cs="Tahoma"/>
          <w:b w:val="0"/>
          <w:bCs w:val="0"/>
          <w:color w:val="252525"/>
          <w:sz w:val="24"/>
          <w:szCs w:val="24"/>
        </w:rPr>
      </w:pPr>
    </w:p>
    <w:p w14:paraId="27EA1113" w14:textId="77777777" w:rsidR="00567DED" w:rsidRDefault="00567DED">
      <w:pPr>
        <w:suppressAutoHyphens w:val="0"/>
        <w:jc w:val="left"/>
        <w:textAlignment w:val="auto"/>
        <w:rPr>
          <w:rStyle w:val="Textoennegrita"/>
          <w:rFonts w:cs="Tahoma"/>
          <w:color w:val="252525"/>
          <w:sz w:val="24"/>
          <w:szCs w:val="24"/>
        </w:rPr>
      </w:pPr>
      <w:r w:rsidRPr="00567DED">
        <w:rPr>
          <w:rStyle w:val="Textoennegrita"/>
          <w:rFonts w:cs="Tahoma"/>
          <w:color w:val="252525"/>
          <w:sz w:val="24"/>
          <w:szCs w:val="24"/>
        </w:rPr>
        <w:t>Composición del accionariado</w:t>
      </w:r>
    </w:p>
    <w:p w14:paraId="233C98A6" w14:textId="77777777" w:rsidR="00567DED" w:rsidRPr="00567DED" w:rsidRDefault="00567DED" w:rsidP="00567DED">
      <w:pPr>
        <w:spacing w:after="160" w:line="300" w:lineRule="auto"/>
        <w:rPr>
          <w:sz w:val="24"/>
          <w:szCs w:val="24"/>
        </w:rPr>
      </w:pPr>
      <w:r w:rsidRPr="00567DED">
        <w:rPr>
          <w:sz w:val="24"/>
          <w:szCs w:val="24"/>
        </w:rPr>
        <w:t>El capital social de MERCATENERIFE refleja su naturaleza de empresa pública de base insular y municipal, compartida entre el Cabildo Insular de Tenerife, MERCASA y los ayuntamientos de la isla: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60"/>
        <w:gridCol w:w="4000"/>
      </w:tblGrid>
      <w:tr w:rsidR="00567DED" w14:paraId="376358E0" w14:textId="77777777" w:rsidTr="00181F1C">
        <w:tblPrEx>
          <w:tblCellMar>
            <w:top w:w="0" w:type="dxa"/>
            <w:bottom w:w="0" w:type="dxa"/>
          </w:tblCellMar>
        </w:tblPrEx>
        <w:tc>
          <w:tcPr>
            <w:tcW w:w="5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6B8EB53" w14:textId="77777777" w:rsidR="00567DED" w:rsidRDefault="00567DED" w:rsidP="00181F1C">
            <w:r>
              <w:rPr>
                <w:b/>
                <w:bCs/>
                <w:color w:val="FFFFFF"/>
              </w:rPr>
              <w:t>Accionista</w:t>
            </w:r>
          </w:p>
        </w:tc>
        <w:tc>
          <w:tcPr>
            <w:tcW w:w="4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F28B2E1" w14:textId="77777777" w:rsidR="00567DED" w:rsidRDefault="00567DED" w:rsidP="00181F1C">
            <w:pPr>
              <w:jc w:val="center"/>
            </w:pPr>
            <w:r>
              <w:rPr>
                <w:b/>
                <w:bCs/>
                <w:color w:val="FFFFFF"/>
              </w:rPr>
              <w:t>Participación</w:t>
            </w:r>
          </w:p>
        </w:tc>
      </w:tr>
      <w:tr w:rsidR="00567DED" w14:paraId="063384C7" w14:textId="77777777" w:rsidTr="00181F1C">
        <w:tblPrEx>
          <w:tblCellMar>
            <w:top w:w="0" w:type="dxa"/>
            <w:bottom w:w="0" w:type="dxa"/>
          </w:tblCellMar>
        </w:tblPrEx>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555BDE" w14:textId="77777777" w:rsidR="00567DED" w:rsidRDefault="00567DED" w:rsidP="00181F1C">
            <w:r>
              <w:t>Cabildo Insular de Tenerife</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B25353" w14:textId="77777777" w:rsidR="00567DED" w:rsidRDefault="00567DED" w:rsidP="00181F1C">
            <w:pPr>
              <w:jc w:val="center"/>
            </w:pPr>
            <w:r>
              <w:t>42,42 %</w:t>
            </w:r>
          </w:p>
        </w:tc>
      </w:tr>
      <w:tr w:rsidR="00567DED" w14:paraId="15819618" w14:textId="77777777" w:rsidTr="00181F1C">
        <w:tblPrEx>
          <w:tblCellMar>
            <w:top w:w="0" w:type="dxa"/>
            <w:bottom w:w="0" w:type="dxa"/>
          </w:tblCellMar>
        </w:tblPrEx>
        <w:tc>
          <w:tcPr>
            <w:tcW w:w="5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1796FCF" w14:textId="77777777" w:rsidR="00567DED" w:rsidRDefault="00567DED" w:rsidP="00181F1C">
            <w:r>
              <w:t>MERCASA</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AC2FD71" w14:textId="77777777" w:rsidR="00567DED" w:rsidRDefault="00567DED" w:rsidP="00181F1C">
            <w:pPr>
              <w:jc w:val="center"/>
            </w:pPr>
            <w:r>
              <w:t>40,78 %</w:t>
            </w:r>
          </w:p>
        </w:tc>
      </w:tr>
      <w:tr w:rsidR="00567DED" w14:paraId="3B3C180B" w14:textId="77777777" w:rsidTr="00181F1C">
        <w:tblPrEx>
          <w:tblCellMar>
            <w:top w:w="0" w:type="dxa"/>
            <w:bottom w:w="0" w:type="dxa"/>
          </w:tblCellMar>
        </w:tblPrEx>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67E4FC" w14:textId="77777777" w:rsidR="00567DED" w:rsidRDefault="00567DED" w:rsidP="00181F1C">
            <w:r>
              <w:t>Ayuntamiento de Santa Cruz de Tenerife</w:t>
            </w:r>
          </w:p>
        </w:tc>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7C8539A" w14:textId="77777777" w:rsidR="00567DED" w:rsidRDefault="00567DED" w:rsidP="00181F1C">
            <w:pPr>
              <w:jc w:val="center"/>
            </w:pPr>
            <w:r>
              <w:t>13,08 %</w:t>
            </w:r>
          </w:p>
        </w:tc>
      </w:tr>
      <w:tr w:rsidR="00567DED" w14:paraId="02DC814C" w14:textId="77777777" w:rsidTr="00181F1C">
        <w:tblPrEx>
          <w:tblCellMar>
            <w:top w:w="0" w:type="dxa"/>
            <w:bottom w:w="0" w:type="dxa"/>
          </w:tblCellMar>
        </w:tblPrEx>
        <w:tc>
          <w:tcPr>
            <w:tcW w:w="5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B733F1B" w14:textId="77777777" w:rsidR="00567DED" w:rsidRDefault="00567DED" w:rsidP="00181F1C">
            <w:r>
              <w:t>Otros 17 ayuntamientos de la isla</w:t>
            </w:r>
          </w:p>
        </w:tc>
        <w:tc>
          <w:tcPr>
            <w:tcW w:w="4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F48B1DE" w14:textId="77777777" w:rsidR="00567DED" w:rsidRDefault="00567DED" w:rsidP="00181F1C">
            <w:pPr>
              <w:jc w:val="center"/>
            </w:pPr>
            <w:r>
              <w:t>3,72 %</w:t>
            </w:r>
          </w:p>
        </w:tc>
      </w:tr>
    </w:tbl>
    <w:p w14:paraId="6058E672" w14:textId="77777777" w:rsidR="00567DED" w:rsidRDefault="00567DED" w:rsidP="00567DED">
      <w:pPr>
        <w:spacing w:after="200"/>
      </w:pPr>
    </w:p>
    <w:p w14:paraId="1F8286CA" w14:textId="4CE4207F" w:rsidR="00567DED" w:rsidRDefault="00567DED">
      <w:pPr>
        <w:suppressAutoHyphens w:val="0"/>
        <w:jc w:val="left"/>
        <w:textAlignment w:val="auto"/>
        <w:rPr>
          <w:rFonts w:cs="Tahoma"/>
          <w:b/>
          <w:bCs/>
          <w:color w:val="252525"/>
          <w:sz w:val="24"/>
          <w:szCs w:val="24"/>
        </w:rPr>
      </w:pPr>
      <w:r w:rsidRPr="00567DED">
        <w:rPr>
          <w:rFonts w:cs="Tahoma"/>
          <w:b/>
          <w:bCs/>
          <w:color w:val="252525"/>
          <w:sz w:val="24"/>
          <w:szCs w:val="24"/>
        </w:rPr>
        <w:lastRenderedPageBreak/>
        <w:t> </w:t>
      </w:r>
      <w:r w:rsidR="00BE7938" w:rsidRPr="00BE7938">
        <w:rPr>
          <w:rFonts w:cs="Tahoma"/>
          <w:b/>
          <w:noProof/>
          <w:color w:val="252525"/>
          <w:sz w:val="24"/>
          <w:szCs w:val="24"/>
        </w:rPr>
        <w:pict w14:anchorId="29434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37" type="#_x0000_t75" alt="Diagrama&#10;&#10;El contenido generado por IA puede ser incorrecto." style="width:486.75pt;height:284.25pt;visibility:visible;mso-wrap-style:square">
            <v:imagedata r:id="rId7" o:title="Diagrama&#10;&#10;El contenido generado por IA puede ser incorrecto"/>
          </v:shape>
        </w:pict>
      </w:r>
    </w:p>
    <w:p w14:paraId="1F4FBEEB" w14:textId="0B976942" w:rsidR="00567DED" w:rsidRPr="00DC3D3A" w:rsidRDefault="00567DED">
      <w:pPr>
        <w:suppressAutoHyphens w:val="0"/>
        <w:jc w:val="left"/>
        <w:textAlignment w:val="auto"/>
        <w:rPr>
          <w:rStyle w:val="Textoennegrita"/>
          <w:rFonts w:cs="Tahoma"/>
          <w:color w:val="252525"/>
          <w:sz w:val="24"/>
          <w:szCs w:val="24"/>
        </w:rPr>
      </w:pPr>
    </w:p>
    <w:p w14:paraId="3AB5B8D7" w14:textId="187023D9" w:rsidR="00567DED" w:rsidRPr="00DC3D3A" w:rsidRDefault="00567DED" w:rsidP="00DC3D3A">
      <w:pPr>
        <w:pStyle w:val="Subttulo"/>
        <w:numPr>
          <w:ilvl w:val="0"/>
          <w:numId w:val="5"/>
        </w:numPr>
        <w:rPr>
          <w:rStyle w:val="Textoennegrita"/>
          <w:rFonts w:ascii="Tahoma" w:hAnsi="Tahoma"/>
          <w:bCs w:val="0"/>
          <w:color w:val="252525"/>
          <w:sz w:val="28"/>
          <w:szCs w:val="28"/>
        </w:rPr>
      </w:pPr>
      <w:r w:rsidRPr="00DC3D3A">
        <w:rPr>
          <w:rStyle w:val="Textoennegrita"/>
          <w:rFonts w:ascii="Tahoma" w:hAnsi="Tahoma"/>
          <w:bCs w:val="0"/>
          <w:color w:val="252525"/>
          <w:sz w:val="28"/>
          <w:szCs w:val="28"/>
        </w:rPr>
        <w:t>Información h</w:t>
      </w:r>
      <w:r w:rsidR="0067192E" w:rsidRPr="00DC3D3A">
        <w:rPr>
          <w:rStyle w:val="Textoennegrita"/>
          <w:rFonts w:ascii="Tahoma" w:hAnsi="Tahoma"/>
          <w:bCs w:val="0"/>
          <w:color w:val="252525"/>
          <w:sz w:val="28"/>
          <w:szCs w:val="28"/>
        </w:rPr>
        <w:t>ist</w:t>
      </w:r>
      <w:r w:rsidRPr="00DC3D3A">
        <w:rPr>
          <w:rStyle w:val="Textoennegrita"/>
          <w:rFonts w:ascii="Tahoma" w:hAnsi="Tahoma"/>
          <w:bCs w:val="0"/>
          <w:color w:val="252525"/>
          <w:sz w:val="28"/>
          <w:szCs w:val="28"/>
        </w:rPr>
        <w:t>órica.</w:t>
      </w:r>
    </w:p>
    <w:p w14:paraId="3042F3EF" w14:textId="77777777" w:rsidR="00567DED" w:rsidRPr="00567DED" w:rsidRDefault="00567DED" w:rsidP="00567DED">
      <w:pPr>
        <w:spacing w:after="160" w:line="300" w:lineRule="auto"/>
        <w:rPr>
          <w:sz w:val="24"/>
          <w:szCs w:val="24"/>
        </w:rPr>
      </w:pPr>
      <w:r w:rsidRPr="00567DED">
        <w:rPr>
          <w:sz w:val="24"/>
          <w:szCs w:val="24"/>
        </w:rPr>
        <w:t>MERCATENERIFE inicia su actividad en 1974, cumpliendo en 2025 cincuenta y un años de historia ininterrumpida. A lo largo de este periodo se ha consolidado como infraestructura estratégica para la cadena agroalimentaria insular y como punto de encuentro entre productores, mayoristas, operadores logísticos y comercio detallista, con hitos relevantes en su gestión de calidad, medio ambiente y resultados económicos:</w:t>
      </w:r>
    </w:p>
    <w:p w14:paraId="1394E7C7" w14:textId="77777777" w:rsidR="00567DED" w:rsidRPr="00567DED" w:rsidRDefault="00567DED" w:rsidP="00567DED">
      <w:pPr>
        <w:pStyle w:val="Prrafodelista"/>
        <w:numPr>
          <w:ilvl w:val="0"/>
          <w:numId w:val="2"/>
        </w:numPr>
        <w:suppressAutoHyphens w:val="0"/>
        <w:autoSpaceDN/>
        <w:spacing w:after="100" w:line="280" w:lineRule="auto"/>
        <w:textAlignment w:val="auto"/>
        <w:rPr>
          <w:sz w:val="24"/>
          <w:szCs w:val="24"/>
        </w:rPr>
      </w:pPr>
      <w:r w:rsidRPr="00567DED">
        <w:rPr>
          <w:sz w:val="24"/>
          <w:szCs w:val="24"/>
        </w:rPr>
        <w:t>1974 — Constitución e inicio de la actividad de MERCATENERIFE, S.A.</w:t>
      </w:r>
    </w:p>
    <w:p w14:paraId="528C6980" w14:textId="77777777" w:rsidR="00567DED" w:rsidRPr="00567DED" w:rsidRDefault="00567DED" w:rsidP="00567DED">
      <w:pPr>
        <w:pStyle w:val="Prrafodelista"/>
        <w:numPr>
          <w:ilvl w:val="0"/>
          <w:numId w:val="2"/>
        </w:numPr>
        <w:suppressAutoHyphens w:val="0"/>
        <w:autoSpaceDN/>
        <w:spacing w:after="100" w:line="280" w:lineRule="auto"/>
        <w:textAlignment w:val="auto"/>
        <w:rPr>
          <w:sz w:val="24"/>
          <w:szCs w:val="24"/>
        </w:rPr>
      </w:pPr>
      <w:r w:rsidRPr="00567DED">
        <w:rPr>
          <w:sz w:val="24"/>
          <w:szCs w:val="24"/>
        </w:rPr>
        <w:t>2006 (20 de noviembre) — Obtención de la certificación de Gestión Ambiental UNE-EN-ISO 14001.</w:t>
      </w:r>
    </w:p>
    <w:p w14:paraId="6FB833C8" w14:textId="77777777" w:rsidR="00567DED" w:rsidRPr="00567DED" w:rsidRDefault="00567DED" w:rsidP="00567DED">
      <w:pPr>
        <w:pStyle w:val="Prrafodelista"/>
        <w:numPr>
          <w:ilvl w:val="0"/>
          <w:numId w:val="2"/>
        </w:numPr>
        <w:suppressAutoHyphens w:val="0"/>
        <w:autoSpaceDN/>
        <w:spacing w:after="100" w:line="280" w:lineRule="auto"/>
        <w:textAlignment w:val="auto"/>
        <w:rPr>
          <w:sz w:val="24"/>
          <w:szCs w:val="24"/>
        </w:rPr>
      </w:pPr>
      <w:r w:rsidRPr="00567DED">
        <w:rPr>
          <w:sz w:val="24"/>
          <w:szCs w:val="24"/>
        </w:rPr>
        <w:t>2008 — Finalización de las obras del Punto Limpio, hito en la gestión ambiental del mercado.</w:t>
      </w:r>
    </w:p>
    <w:p w14:paraId="08A76929" w14:textId="77777777" w:rsidR="00567DED" w:rsidRPr="00567DED" w:rsidRDefault="00567DED" w:rsidP="00567DED">
      <w:pPr>
        <w:pStyle w:val="Prrafodelista"/>
        <w:numPr>
          <w:ilvl w:val="0"/>
          <w:numId w:val="2"/>
        </w:numPr>
        <w:suppressAutoHyphens w:val="0"/>
        <w:autoSpaceDN/>
        <w:spacing w:after="100" w:line="280" w:lineRule="auto"/>
        <w:textAlignment w:val="auto"/>
        <w:rPr>
          <w:sz w:val="24"/>
          <w:szCs w:val="24"/>
        </w:rPr>
      </w:pPr>
      <w:r w:rsidRPr="00567DED">
        <w:rPr>
          <w:sz w:val="24"/>
          <w:szCs w:val="24"/>
        </w:rPr>
        <w:t>2023 (8 y 9 de mayo) — Auditorías de renovación del Sistema de Gestión Ambiental (ISO 14001:2015) y de seguimiento del Sistema de Calidad (ISO 9001), con resultados satisfactorios.</w:t>
      </w:r>
    </w:p>
    <w:p w14:paraId="1979F3C8" w14:textId="77777777" w:rsidR="00567DED" w:rsidRPr="00567DED" w:rsidRDefault="00567DED" w:rsidP="00567DED">
      <w:pPr>
        <w:pStyle w:val="Prrafodelista"/>
        <w:numPr>
          <w:ilvl w:val="0"/>
          <w:numId w:val="2"/>
        </w:numPr>
        <w:suppressAutoHyphens w:val="0"/>
        <w:autoSpaceDN/>
        <w:spacing w:after="100" w:line="280" w:lineRule="auto"/>
        <w:textAlignment w:val="auto"/>
        <w:rPr>
          <w:sz w:val="24"/>
          <w:szCs w:val="24"/>
        </w:rPr>
      </w:pPr>
      <w:r w:rsidRPr="00567DED">
        <w:rPr>
          <w:sz w:val="24"/>
          <w:szCs w:val="24"/>
        </w:rPr>
        <w:t>2021-2025 — Periodo de fuerte crecimiento: la ocupación comercial pasa del 53 % al 100 % (+88,7 %), la cifra de negocio crece un 66,9 % y las inversiones se multiplican casi por 11 (+987,7 %).</w:t>
      </w:r>
    </w:p>
    <w:p w14:paraId="768A07BC" w14:textId="77777777" w:rsidR="00567DED" w:rsidRPr="00567DED" w:rsidRDefault="00567DED" w:rsidP="00567DED">
      <w:pPr>
        <w:pStyle w:val="Prrafodelista"/>
        <w:numPr>
          <w:ilvl w:val="0"/>
          <w:numId w:val="2"/>
        </w:numPr>
        <w:suppressAutoHyphens w:val="0"/>
        <w:autoSpaceDN/>
        <w:spacing w:after="100" w:line="280" w:lineRule="auto"/>
        <w:textAlignment w:val="auto"/>
        <w:rPr>
          <w:sz w:val="24"/>
          <w:szCs w:val="24"/>
        </w:rPr>
      </w:pPr>
      <w:r w:rsidRPr="00567DED">
        <w:rPr>
          <w:sz w:val="24"/>
          <w:szCs w:val="24"/>
        </w:rPr>
        <w:lastRenderedPageBreak/>
        <w:t>2025 — Ejercicio auditado en el que MERCATENERIFE alcanza la mejor cifra de sus 51 años de historia, sin deuda bancaria y con un grado de autofinanciación del 95,96 %.</w:t>
      </w:r>
    </w:p>
    <w:p w14:paraId="6FE78042" w14:textId="77777777" w:rsidR="00567DED" w:rsidRPr="00567DED" w:rsidRDefault="00567DED" w:rsidP="00567DED">
      <w:pPr>
        <w:ind w:left="360"/>
        <w:rPr>
          <w:rFonts w:cs="Tahoma"/>
          <w:bCs/>
          <w:sz w:val="24"/>
          <w:szCs w:val="24"/>
        </w:rPr>
      </w:pPr>
    </w:p>
    <w:p w14:paraId="211BEBA3" w14:textId="2E69B1A2" w:rsidR="00567DED" w:rsidRDefault="00567DED">
      <w:pPr>
        <w:suppressAutoHyphens w:val="0"/>
        <w:jc w:val="left"/>
        <w:textAlignment w:val="auto"/>
        <w:rPr>
          <w:rFonts w:cs="Tahoma"/>
          <w:b/>
          <w:sz w:val="24"/>
          <w:szCs w:val="24"/>
        </w:rPr>
      </w:pPr>
    </w:p>
    <w:p w14:paraId="529E27F8" w14:textId="0914F1BD" w:rsidR="00AE7AB8" w:rsidRPr="00BE7938" w:rsidRDefault="00567DED" w:rsidP="00DC3D3A">
      <w:pPr>
        <w:pStyle w:val="Subttulo"/>
        <w:numPr>
          <w:ilvl w:val="0"/>
          <w:numId w:val="5"/>
        </w:numPr>
        <w:rPr>
          <w:rStyle w:val="Textoennegrita"/>
          <w:rFonts w:ascii="Tahoma" w:hAnsi="Tahoma"/>
          <w:bCs w:val="0"/>
          <w:color w:val="252525"/>
          <w:sz w:val="28"/>
          <w:szCs w:val="28"/>
        </w:rPr>
      </w:pPr>
      <w:r w:rsidRPr="00BE7938">
        <w:rPr>
          <w:rStyle w:val="Textoennegrita"/>
          <w:rFonts w:ascii="Tahoma" w:hAnsi="Tahoma"/>
          <w:bCs w:val="0"/>
          <w:color w:val="252525"/>
          <w:sz w:val="28"/>
          <w:szCs w:val="28"/>
        </w:rPr>
        <w:t>Información geográfica.</w:t>
      </w:r>
    </w:p>
    <w:p w14:paraId="3AB5B8D9" w14:textId="2C32AA34" w:rsidR="00AE7AB8" w:rsidRDefault="00567DED">
      <w:pPr>
        <w:rPr>
          <w:rFonts w:cs="Tahoma"/>
          <w:sz w:val="24"/>
          <w:szCs w:val="24"/>
        </w:rPr>
      </w:pPr>
      <w:r w:rsidRPr="00567DED">
        <w:rPr>
          <w:rFonts w:cs="Tahoma"/>
          <w:sz w:val="24"/>
          <w:szCs w:val="24"/>
        </w:rPr>
        <w:t>MERCATENERIFE se encuentra en El Mayorazgo, Sector 2, en Santa Cruz de Tenerife, en un entorno costero junto a la autopista TF-1 y al océano Atlántico. El complejo cuenta con una superficie total de 183.925 m², distribuida entre zona comercial y zona no comercial (viales, barranco, aparcamientos y punto limpio):</w:t>
      </w:r>
    </w:p>
    <w:p w14:paraId="5F7BD1F6" w14:textId="77777777" w:rsidR="00567DED" w:rsidRDefault="00567DED">
      <w:pPr>
        <w:rPr>
          <w:rFonts w:cs="Tahoma"/>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3000"/>
      </w:tblGrid>
      <w:tr w:rsidR="00567DED" w14:paraId="7F6F630A"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C276B56" w14:textId="77777777" w:rsidR="00567DED" w:rsidRDefault="00567DED" w:rsidP="00181F1C">
            <w:r>
              <w:rPr>
                <w:b/>
                <w:bCs/>
                <w:color w:val="FFFFFF"/>
              </w:rPr>
              <w:t>Zona</w:t>
            </w:r>
          </w:p>
        </w:tc>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F4D9C3C" w14:textId="77777777" w:rsidR="00567DED" w:rsidRDefault="00567DED" w:rsidP="00181F1C">
            <w:pPr>
              <w:jc w:val="center"/>
            </w:pPr>
            <w:r>
              <w:rPr>
                <w:b/>
                <w:bCs/>
                <w:color w:val="FFFFFF"/>
              </w:rPr>
              <w:t>Superficie (m²)</w:t>
            </w:r>
          </w:p>
        </w:tc>
      </w:tr>
      <w:tr w:rsidR="00567DED" w14:paraId="7AE1BD86"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376E24" w14:textId="77777777" w:rsidR="00567DED" w:rsidRDefault="00567DED" w:rsidP="00181F1C">
            <w:r>
              <w:t>Mercado de fruta, hortaliza, papa y NPL</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89507E" w14:textId="77777777" w:rsidR="00567DED" w:rsidRDefault="00567DED" w:rsidP="00181F1C">
            <w:pPr>
              <w:jc w:val="center"/>
            </w:pPr>
            <w:r>
              <w:t>8.544</w:t>
            </w:r>
          </w:p>
        </w:tc>
      </w:tr>
      <w:tr w:rsidR="00567DED" w14:paraId="660AB749"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130B005" w14:textId="77777777" w:rsidR="00567DED" w:rsidRDefault="00567DED" w:rsidP="00181F1C">
            <w:r>
              <w:t>Complejos A, B, C, D (ZAC)</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3DD90DA" w14:textId="77777777" w:rsidR="00567DED" w:rsidRDefault="00567DED" w:rsidP="00181F1C">
            <w:pPr>
              <w:jc w:val="center"/>
            </w:pPr>
            <w:r>
              <w:t>19.588</w:t>
            </w:r>
          </w:p>
        </w:tc>
      </w:tr>
      <w:tr w:rsidR="00567DED" w14:paraId="2FE50C47"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265F49" w14:textId="77777777" w:rsidR="00567DED" w:rsidRDefault="00567DED" w:rsidP="00181F1C">
            <w:r>
              <w:t>Complejo E (Gobierno de Canarias)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223F5A" w14:textId="77777777" w:rsidR="00567DED" w:rsidRDefault="00567DED" w:rsidP="00181F1C">
            <w:pPr>
              <w:jc w:val="center"/>
            </w:pPr>
            <w:r>
              <w:t>3.056</w:t>
            </w:r>
          </w:p>
        </w:tc>
      </w:tr>
      <w:tr w:rsidR="00567DED" w14:paraId="6A7828CE"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114DC8F" w14:textId="77777777" w:rsidR="00567DED" w:rsidRDefault="00567DED" w:rsidP="00181F1C">
            <w:r>
              <w:t>Complejo F (derecho de superficie)</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85E087C" w14:textId="77777777" w:rsidR="00567DED" w:rsidRDefault="00567DED" w:rsidP="00181F1C">
            <w:pPr>
              <w:jc w:val="center"/>
            </w:pPr>
            <w:r>
              <w:t>8.370</w:t>
            </w:r>
          </w:p>
        </w:tc>
      </w:tr>
      <w:tr w:rsidR="00567DED" w14:paraId="6266877C"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EC24F2D" w14:textId="77777777" w:rsidR="00567DED" w:rsidRDefault="00567DED" w:rsidP="00181F1C">
            <w:r>
              <w:t>Cafetería, gasolinera, cámaras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F643589" w14:textId="77777777" w:rsidR="00567DED" w:rsidRDefault="00567DED" w:rsidP="00181F1C">
            <w:pPr>
              <w:jc w:val="center"/>
            </w:pPr>
            <w:r>
              <w:t>446</w:t>
            </w:r>
          </w:p>
        </w:tc>
      </w:tr>
      <w:tr w:rsidR="00567DED" w14:paraId="1DE2DF3F"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2687B2A" w14:textId="77777777" w:rsidR="00567DED" w:rsidRDefault="00567DED" w:rsidP="00181F1C">
            <w:r>
              <w:t>Oficinas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D49A8F0" w14:textId="77777777" w:rsidR="00567DED" w:rsidRDefault="00567DED" w:rsidP="00181F1C">
            <w:pPr>
              <w:jc w:val="center"/>
            </w:pPr>
            <w:r>
              <w:t>1.260</w:t>
            </w:r>
          </w:p>
        </w:tc>
      </w:tr>
      <w:tr w:rsidR="00567DED" w14:paraId="6BABF190"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EAF1E3"/>
            <w:tcMar>
              <w:top w:w="80" w:type="dxa"/>
              <w:left w:w="120" w:type="dxa"/>
              <w:bottom w:w="80" w:type="dxa"/>
              <w:right w:w="120" w:type="dxa"/>
            </w:tcMar>
            <w:vAlign w:val="center"/>
          </w:tcPr>
          <w:p w14:paraId="239B487C" w14:textId="77777777" w:rsidR="00567DED" w:rsidRDefault="00567DED" w:rsidP="00181F1C">
            <w:proofErr w:type="gramStart"/>
            <w:r>
              <w:rPr>
                <w:b/>
                <w:bCs/>
              </w:rPr>
              <w:t>Total</w:t>
            </w:r>
            <w:proofErr w:type="gramEnd"/>
            <w:r>
              <w:rPr>
                <w:b/>
                <w:bCs/>
              </w:rPr>
              <w:t xml:space="preserve"> superficie comercial</w:t>
            </w:r>
          </w:p>
        </w:tc>
        <w:tc>
          <w:tcPr>
            <w:tcW w:w="3000" w:type="dxa"/>
            <w:tcBorders>
              <w:top w:val="single" w:sz="1" w:space="0" w:color="CCCCCC"/>
              <w:left w:val="single" w:sz="1" w:space="0" w:color="CCCCCC"/>
              <w:bottom w:val="single" w:sz="1" w:space="0" w:color="CCCCCC"/>
              <w:right w:val="single" w:sz="1" w:space="0" w:color="CCCCCC"/>
            </w:tcBorders>
            <w:shd w:val="clear" w:color="auto" w:fill="EAF1E3"/>
            <w:tcMar>
              <w:top w:w="80" w:type="dxa"/>
              <w:left w:w="120" w:type="dxa"/>
              <w:bottom w:w="80" w:type="dxa"/>
              <w:right w:w="120" w:type="dxa"/>
            </w:tcMar>
            <w:vAlign w:val="center"/>
          </w:tcPr>
          <w:p w14:paraId="1738734C" w14:textId="77777777" w:rsidR="00567DED" w:rsidRDefault="00567DED" w:rsidP="00181F1C">
            <w:pPr>
              <w:jc w:val="center"/>
            </w:pPr>
            <w:r>
              <w:rPr>
                <w:b/>
                <w:bCs/>
              </w:rPr>
              <w:t>41.264</w:t>
            </w:r>
          </w:p>
        </w:tc>
      </w:tr>
      <w:tr w:rsidR="00567DED" w14:paraId="23B2F67E"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5F220A" w14:textId="77777777" w:rsidR="00567DED" w:rsidRDefault="00567DED" w:rsidP="00181F1C">
            <w:r>
              <w:t>Barranco</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A9B5DE" w14:textId="77777777" w:rsidR="00567DED" w:rsidRDefault="00567DED" w:rsidP="00181F1C">
            <w:pPr>
              <w:jc w:val="center"/>
            </w:pPr>
            <w:r>
              <w:t>62.116</w:t>
            </w:r>
          </w:p>
        </w:tc>
      </w:tr>
      <w:tr w:rsidR="00567DED" w14:paraId="4BD06F4A"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3A70862" w14:textId="77777777" w:rsidR="00567DED" w:rsidRDefault="00567DED" w:rsidP="00181F1C">
            <w:r>
              <w:t>Aparcamientos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9F94B73" w14:textId="77777777" w:rsidR="00567DED" w:rsidRDefault="00567DED" w:rsidP="00181F1C">
            <w:pPr>
              <w:jc w:val="center"/>
            </w:pPr>
            <w:r>
              <w:t>10.536</w:t>
            </w:r>
          </w:p>
        </w:tc>
      </w:tr>
      <w:tr w:rsidR="00567DED" w14:paraId="4FB3DADF"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64A5508" w14:textId="77777777" w:rsidR="00567DED" w:rsidRDefault="00567DED" w:rsidP="00181F1C">
            <w:r>
              <w:t>Punto Limpio</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ACE401" w14:textId="77777777" w:rsidR="00567DED" w:rsidRDefault="00567DED" w:rsidP="00181F1C">
            <w:pPr>
              <w:jc w:val="center"/>
            </w:pPr>
            <w:r>
              <w:t>825</w:t>
            </w:r>
          </w:p>
        </w:tc>
      </w:tr>
      <w:tr w:rsidR="00567DED" w14:paraId="5EDCE2A9"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1E0750D" w14:textId="77777777" w:rsidR="00567DED" w:rsidRDefault="00567DED" w:rsidP="00181F1C">
            <w:r>
              <w:t>Viales y otras zonas comunes</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AF75DF8" w14:textId="77777777" w:rsidR="00567DED" w:rsidRDefault="00567DED" w:rsidP="00181F1C">
            <w:pPr>
              <w:jc w:val="center"/>
            </w:pPr>
            <w:r>
              <w:t>69.184</w:t>
            </w:r>
          </w:p>
        </w:tc>
      </w:tr>
      <w:tr w:rsidR="00567DED" w14:paraId="0A07CF13"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EAF1E3"/>
            <w:tcMar>
              <w:top w:w="80" w:type="dxa"/>
              <w:left w:w="120" w:type="dxa"/>
              <w:bottom w:w="80" w:type="dxa"/>
              <w:right w:w="120" w:type="dxa"/>
            </w:tcMar>
            <w:vAlign w:val="center"/>
          </w:tcPr>
          <w:p w14:paraId="5AF058FE" w14:textId="77777777" w:rsidR="00567DED" w:rsidRDefault="00567DED" w:rsidP="00181F1C">
            <w:proofErr w:type="gramStart"/>
            <w:r>
              <w:rPr>
                <w:b/>
                <w:bCs/>
              </w:rPr>
              <w:t>Total</w:t>
            </w:r>
            <w:proofErr w:type="gramEnd"/>
            <w:r>
              <w:rPr>
                <w:b/>
                <w:bCs/>
              </w:rPr>
              <w:t xml:space="preserve"> superficie no comercial</w:t>
            </w:r>
          </w:p>
        </w:tc>
        <w:tc>
          <w:tcPr>
            <w:tcW w:w="3000" w:type="dxa"/>
            <w:tcBorders>
              <w:top w:val="single" w:sz="1" w:space="0" w:color="CCCCCC"/>
              <w:left w:val="single" w:sz="1" w:space="0" w:color="CCCCCC"/>
              <w:bottom w:val="single" w:sz="1" w:space="0" w:color="CCCCCC"/>
              <w:right w:val="single" w:sz="1" w:space="0" w:color="CCCCCC"/>
            </w:tcBorders>
            <w:shd w:val="clear" w:color="auto" w:fill="EAF1E3"/>
            <w:tcMar>
              <w:top w:w="80" w:type="dxa"/>
              <w:left w:w="120" w:type="dxa"/>
              <w:bottom w:w="80" w:type="dxa"/>
              <w:right w:w="120" w:type="dxa"/>
            </w:tcMar>
            <w:vAlign w:val="center"/>
          </w:tcPr>
          <w:p w14:paraId="5192DBD1" w14:textId="77777777" w:rsidR="00567DED" w:rsidRDefault="00567DED" w:rsidP="00181F1C">
            <w:pPr>
              <w:jc w:val="center"/>
            </w:pPr>
            <w:r>
              <w:rPr>
                <w:b/>
                <w:bCs/>
              </w:rPr>
              <w:t>142.661</w:t>
            </w:r>
          </w:p>
        </w:tc>
      </w:tr>
      <w:tr w:rsidR="00567DED" w14:paraId="2F91E861" w14:textId="77777777" w:rsidTr="00181F1C">
        <w:tblPrEx>
          <w:tblCellMar>
            <w:top w:w="0" w:type="dxa"/>
            <w:bottom w:w="0" w:type="dxa"/>
          </w:tblCellMar>
        </w:tblPrEx>
        <w:tc>
          <w:tcPr>
            <w:tcW w:w="6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89FBFD3" w14:textId="77777777" w:rsidR="00567DED" w:rsidRDefault="00567DED" w:rsidP="00181F1C">
            <w:proofErr w:type="gramStart"/>
            <w:r>
              <w:rPr>
                <w:b/>
                <w:bCs/>
                <w:color w:val="FFFFFF"/>
              </w:rPr>
              <w:t>TOTAL</w:t>
            </w:r>
            <w:proofErr w:type="gramEnd"/>
            <w:r>
              <w:rPr>
                <w:b/>
                <w:bCs/>
                <w:color w:val="FFFFFF"/>
              </w:rPr>
              <w:t xml:space="preserve"> MERCATENERIFE</w:t>
            </w:r>
          </w:p>
        </w:tc>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38EFD22" w14:textId="77777777" w:rsidR="00567DED" w:rsidRDefault="00567DED" w:rsidP="00181F1C">
            <w:pPr>
              <w:jc w:val="center"/>
            </w:pPr>
            <w:r>
              <w:rPr>
                <w:b/>
                <w:bCs/>
                <w:color w:val="FFFFFF"/>
              </w:rPr>
              <w:t>183.925</w:t>
            </w:r>
          </w:p>
        </w:tc>
      </w:tr>
    </w:tbl>
    <w:p w14:paraId="29124E76" w14:textId="77777777" w:rsidR="00567DED" w:rsidRDefault="00567DED">
      <w:pPr>
        <w:suppressAutoHyphens w:val="0"/>
        <w:jc w:val="left"/>
        <w:textAlignment w:val="auto"/>
        <w:rPr>
          <w:rFonts w:cs="Tahoma"/>
          <w:sz w:val="24"/>
          <w:szCs w:val="24"/>
        </w:rPr>
      </w:pPr>
    </w:p>
    <w:p w14:paraId="3EB477B7" w14:textId="77777777" w:rsidR="00567DED" w:rsidRDefault="00567DED" w:rsidP="00567DED">
      <w:pPr>
        <w:suppressAutoHyphens w:val="0"/>
        <w:textAlignment w:val="auto"/>
        <w:rPr>
          <w:rFonts w:cs="Tahoma"/>
          <w:sz w:val="24"/>
          <w:szCs w:val="24"/>
        </w:rPr>
      </w:pPr>
      <w:r w:rsidRPr="00567DED">
        <w:rPr>
          <w:rFonts w:cs="Tahoma"/>
          <w:sz w:val="24"/>
          <w:szCs w:val="24"/>
        </w:rPr>
        <w:t xml:space="preserve">La zona comercial se organiza en torno al Mercado de Fruta, Hortaliza y Papa —que concentra el 24,7 % de los ingresos sobre solo el 16,6 % de la superficie comercial—, la Nave de Producto Local, los Complejos A, B, C y D (Zona de Actividades Complementarias), el Complejo E cedido al Gobierno de Canarias, el Complejo F bajo derecho de superficie, y los espacios de oficinas, cafetería y gasolinera. </w:t>
      </w:r>
    </w:p>
    <w:p w14:paraId="4AA4A57F" w14:textId="77777777" w:rsidR="00567DED" w:rsidRDefault="00567DED" w:rsidP="00567DED">
      <w:pPr>
        <w:suppressAutoHyphens w:val="0"/>
        <w:textAlignment w:val="auto"/>
        <w:rPr>
          <w:rFonts w:cs="Tahoma"/>
          <w:sz w:val="24"/>
          <w:szCs w:val="24"/>
        </w:rPr>
      </w:pPr>
    </w:p>
    <w:p w14:paraId="3F42D94D" w14:textId="77777777" w:rsidR="00567DED" w:rsidRDefault="00567DED" w:rsidP="00567DED">
      <w:pPr>
        <w:suppressAutoHyphens w:val="0"/>
        <w:textAlignment w:val="auto"/>
        <w:rPr>
          <w:rFonts w:cs="Tahoma"/>
          <w:sz w:val="24"/>
          <w:szCs w:val="24"/>
        </w:rPr>
      </w:pPr>
      <w:r w:rsidRPr="00567DED">
        <w:rPr>
          <w:rFonts w:cs="Tahoma"/>
          <w:sz w:val="24"/>
          <w:szCs w:val="24"/>
        </w:rPr>
        <w:t>Entre las actuaciones en marcha destacan la obra de seguridad y mejora paisajística del Barranco de la TF-1 (62.116 m², adjudicada por 3.051.000 €), la reforma de eficiencia energética del edificio administrativo, la instalación de puntos de recarga para vehículos eléctricos, la renovación de cúpulas, red de hidrantes contraincendios, red de abastecimiento de agua, depuradora, luminarias, CCTV y sistema de control de entrada.</w:t>
      </w:r>
    </w:p>
    <w:p w14:paraId="5CC3FD39" w14:textId="296DDDEB" w:rsidR="00567DED" w:rsidRDefault="00567DED">
      <w:pPr>
        <w:suppressAutoHyphens w:val="0"/>
        <w:jc w:val="left"/>
        <w:textAlignment w:val="auto"/>
        <w:rPr>
          <w:rFonts w:cs="Tahoma"/>
          <w:sz w:val="24"/>
          <w:szCs w:val="24"/>
        </w:rPr>
      </w:pPr>
      <w:r>
        <w:rPr>
          <w:rFonts w:cs="Tahoma"/>
          <w:sz w:val="24"/>
          <w:szCs w:val="24"/>
        </w:rPr>
        <w:br w:type="page"/>
      </w:r>
    </w:p>
    <w:p w14:paraId="6A8638E0" w14:textId="77777777" w:rsidR="00567DED" w:rsidRPr="00BE7938" w:rsidRDefault="00567DED" w:rsidP="00DC3D3A">
      <w:pPr>
        <w:pStyle w:val="Subttulo"/>
        <w:numPr>
          <w:ilvl w:val="0"/>
          <w:numId w:val="5"/>
        </w:numPr>
        <w:rPr>
          <w:rStyle w:val="Textoennegrita"/>
          <w:rFonts w:ascii="Tahoma" w:hAnsi="Tahoma"/>
          <w:bCs w:val="0"/>
          <w:color w:val="252525"/>
          <w:sz w:val="28"/>
          <w:szCs w:val="28"/>
        </w:rPr>
      </w:pPr>
      <w:r w:rsidRPr="00BE7938">
        <w:rPr>
          <w:rStyle w:val="Textoennegrita"/>
          <w:rFonts w:ascii="Tahoma" w:hAnsi="Tahoma"/>
          <w:bCs w:val="0"/>
          <w:color w:val="252525"/>
          <w:sz w:val="28"/>
          <w:szCs w:val="28"/>
        </w:rPr>
        <w:t>Información social.</w:t>
      </w:r>
    </w:p>
    <w:p w14:paraId="02972DBA" w14:textId="197B0B44" w:rsidR="00567DED" w:rsidRDefault="00567DED" w:rsidP="00567DED">
      <w:pPr>
        <w:rPr>
          <w:sz w:val="24"/>
          <w:szCs w:val="24"/>
        </w:rPr>
      </w:pPr>
      <w:r w:rsidRPr="00567DED">
        <w:rPr>
          <w:sz w:val="24"/>
          <w:szCs w:val="24"/>
        </w:rPr>
        <w:t>MERCATENERIFE constituye un núcleo de actividad económica y social de primer orden para el sector agroalimentario de Tenerife. En torno a sus instalaciones operan:</w:t>
      </w:r>
    </w:p>
    <w:p w14:paraId="40DAB3E6" w14:textId="77777777" w:rsidR="00567DED" w:rsidRDefault="00567DED" w:rsidP="00567DED">
      <w:pPr>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567DED" w14:paraId="58DA19E3" w14:textId="77777777" w:rsidTr="00181F1C">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66BF615" w14:textId="77777777" w:rsidR="00567DED" w:rsidRDefault="00567DED" w:rsidP="00181F1C">
            <w:r>
              <w:t>Empresas instaladas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CC5B5F" w14:textId="77777777" w:rsidR="00567DED" w:rsidRDefault="00567DED" w:rsidP="00181F1C">
            <w:pPr>
              <w:jc w:val="center"/>
            </w:pPr>
            <w:r>
              <w:rPr>
                <w:b/>
                <w:bCs/>
              </w:rPr>
              <w:t>101</w:t>
            </w:r>
          </w:p>
        </w:tc>
      </w:tr>
      <w:tr w:rsidR="00567DED" w14:paraId="08305757" w14:textId="77777777" w:rsidTr="00181F1C">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21FF327" w14:textId="77777777" w:rsidR="00567DED" w:rsidRDefault="00567DED" w:rsidP="00181F1C">
            <w:r>
              <w:t>Agricultores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C00944" w14:textId="77777777" w:rsidR="00567DED" w:rsidRDefault="00567DED" w:rsidP="00181F1C">
            <w:pPr>
              <w:jc w:val="center"/>
            </w:pPr>
            <w:r>
              <w:rPr>
                <w:b/>
                <w:bCs/>
              </w:rPr>
              <w:t>603</w:t>
            </w:r>
          </w:p>
        </w:tc>
      </w:tr>
      <w:tr w:rsidR="00567DED" w14:paraId="27D4F668" w14:textId="77777777" w:rsidTr="00181F1C">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1934BB8" w14:textId="77777777" w:rsidR="00567DED" w:rsidRDefault="00567DED" w:rsidP="00181F1C">
            <w:r>
              <w:t>Trabajadores del ecosistema del mercado</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ACCA4A4" w14:textId="77777777" w:rsidR="00567DED" w:rsidRDefault="00567DED" w:rsidP="00181F1C">
            <w:pPr>
              <w:jc w:val="center"/>
            </w:pPr>
            <w:r>
              <w:rPr>
                <w:b/>
                <w:bCs/>
              </w:rPr>
              <w:t>1.345</w:t>
            </w:r>
          </w:p>
        </w:tc>
      </w:tr>
      <w:tr w:rsidR="00567DED" w14:paraId="50D0CCE2" w14:textId="77777777" w:rsidTr="00181F1C">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FDAA8E" w14:textId="77777777" w:rsidR="00567DED" w:rsidRDefault="00567DED" w:rsidP="00181F1C">
            <w:r>
              <w:t>Vehículos anuales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84DAF6" w14:textId="77777777" w:rsidR="00567DED" w:rsidRDefault="00567DED" w:rsidP="00181F1C">
            <w:pPr>
              <w:jc w:val="center"/>
            </w:pPr>
            <w:r>
              <w:rPr>
                <w:b/>
                <w:bCs/>
              </w:rPr>
              <w:t>442.351</w:t>
            </w:r>
          </w:p>
        </w:tc>
      </w:tr>
      <w:tr w:rsidR="00567DED" w14:paraId="7473C510" w14:textId="77777777" w:rsidTr="00181F1C">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550D8CF" w14:textId="77777777" w:rsidR="00567DED" w:rsidRDefault="00567DED" w:rsidP="00181F1C">
            <w:r>
              <w:t>Visitantes anuales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99A6DD1" w14:textId="77777777" w:rsidR="00567DED" w:rsidRDefault="00567DED" w:rsidP="00181F1C">
            <w:pPr>
              <w:jc w:val="center"/>
            </w:pPr>
            <w:r>
              <w:rPr>
                <w:b/>
                <w:bCs/>
              </w:rPr>
              <w:t>532.958</w:t>
            </w:r>
          </w:p>
        </w:tc>
      </w:tr>
      <w:tr w:rsidR="00567DED" w14:paraId="78EC33FA" w14:textId="77777777" w:rsidTr="00181F1C">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5BE45C" w14:textId="77777777" w:rsidR="00567DED" w:rsidRDefault="00567DED" w:rsidP="00181F1C">
            <w:r>
              <w:t>Fruta, hortaliza y papa comercializada anualmente</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54667B" w14:textId="77777777" w:rsidR="00567DED" w:rsidRDefault="00567DED" w:rsidP="00181F1C">
            <w:pPr>
              <w:jc w:val="center"/>
            </w:pPr>
            <w:r>
              <w:rPr>
                <w:b/>
                <w:bCs/>
              </w:rPr>
              <w:t>79.703.366 kg</w:t>
            </w:r>
          </w:p>
        </w:tc>
      </w:tr>
    </w:tbl>
    <w:p w14:paraId="720FF6C3" w14:textId="57D67A33" w:rsidR="00567DED" w:rsidRDefault="00567DED" w:rsidP="00DC3D3A">
      <w:pPr>
        <w:suppressAutoHyphens w:val="0"/>
        <w:textAlignment w:val="auto"/>
        <w:rPr>
          <w:rFonts w:cs="Tahoma"/>
          <w:sz w:val="24"/>
          <w:szCs w:val="24"/>
        </w:rPr>
      </w:pPr>
      <w:r w:rsidRPr="00DC3D3A">
        <w:rPr>
          <w:rFonts w:cs="Tahoma"/>
          <w:sz w:val="24"/>
          <w:szCs w:val="24"/>
        </w:rPr>
        <w:t>El 40 % del producto comercializado es de origen local y el 60 % restante de procedencia no local, siendo la Nave de Producto Local el canal de comercialización del 90 % de la hortaliza local (18.219.520 kg anuales).</w:t>
      </w:r>
    </w:p>
    <w:p w14:paraId="102EBAF8" w14:textId="77777777" w:rsidR="00DC3D3A" w:rsidRPr="00DC3D3A" w:rsidRDefault="00DC3D3A" w:rsidP="00DC3D3A">
      <w:pPr>
        <w:suppressAutoHyphens w:val="0"/>
        <w:textAlignment w:val="auto"/>
        <w:rPr>
          <w:rFonts w:cs="Tahoma"/>
          <w:sz w:val="24"/>
          <w:szCs w:val="24"/>
        </w:rPr>
      </w:pPr>
    </w:p>
    <w:p w14:paraId="3AF70E9E" w14:textId="08EB903A" w:rsidR="00567DED" w:rsidRPr="00DC3D3A" w:rsidRDefault="00DC3D3A" w:rsidP="00DC3D3A">
      <w:pPr>
        <w:suppressAutoHyphens w:val="0"/>
        <w:textAlignment w:val="auto"/>
        <w:rPr>
          <w:rFonts w:cs="Tahoma"/>
          <w:b/>
          <w:bCs/>
          <w:sz w:val="24"/>
          <w:szCs w:val="24"/>
        </w:rPr>
      </w:pPr>
      <w:r w:rsidRPr="00DC3D3A">
        <w:rPr>
          <w:rFonts w:cs="Tahoma"/>
          <w:b/>
          <w:bCs/>
          <w:sz w:val="24"/>
          <w:szCs w:val="24"/>
        </w:rPr>
        <w:t>Gestión de personas.</w:t>
      </w:r>
    </w:p>
    <w:p w14:paraId="786AD762" w14:textId="77777777" w:rsidR="00DC3D3A" w:rsidRDefault="00DC3D3A" w:rsidP="00DC3D3A">
      <w:pPr>
        <w:suppressAutoHyphens w:val="0"/>
        <w:textAlignment w:val="auto"/>
        <w:rPr>
          <w:rFonts w:cs="Tahoma"/>
          <w:sz w:val="24"/>
          <w:szCs w:val="24"/>
        </w:rPr>
      </w:pPr>
      <w:r w:rsidRPr="00DC3D3A">
        <w:rPr>
          <w:rFonts w:cs="Tahoma"/>
          <w:sz w:val="24"/>
          <w:szCs w:val="24"/>
        </w:rPr>
        <w:t>La plantilla de MERCATENERIFE se caracteriza por su plena estabilidad: el 100 % de los puestos son de contrato indefinido, con un 0 % de ausencia por bajas laborales, un 0 % de ausencia por motivos no justificados y un 0 % de bajas de larga duración (superiores a 6 meses). La entidad mantiene además un Plan de Igualdad en vigor, de forma voluntaria, sin estar legalmente obligada a su implantación.</w:t>
      </w:r>
    </w:p>
    <w:p w14:paraId="20353F16" w14:textId="77777777" w:rsidR="00DC3D3A" w:rsidRDefault="00DC3D3A" w:rsidP="00DC3D3A">
      <w:pPr>
        <w:rPr>
          <w:b/>
          <w:bCs/>
          <w:sz w:val="24"/>
          <w:szCs w:val="24"/>
        </w:rPr>
      </w:pPr>
    </w:p>
    <w:p w14:paraId="1F7630C0" w14:textId="7C0D2AF0" w:rsidR="00DC3D3A" w:rsidRPr="00DC3D3A" w:rsidRDefault="00DC3D3A" w:rsidP="00DC3D3A">
      <w:pPr>
        <w:rPr>
          <w:b/>
          <w:bCs/>
          <w:sz w:val="24"/>
          <w:szCs w:val="24"/>
        </w:rPr>
      </w:pPr>
      <w:r>
        <w:rPr>
          <w:b/>
          <w:bCs/>
          <w:sz w:val="24"/>
          <w:szCs w:val="24"/>
        </w:rPr>
        <w:t>Acción social y Banco de Alimentos.</w:t>
      </w:r>
    </w:p>
    <w:p w14:paraId="6D83BFF3" w14:textId="77777777" w:rsidR="00DC3D3A" w:rsidRPr="00DC3D3A" w:rsidRDefault="00DC3D3A" w:rsidP="00DC3D3A">
      <w:pPr>
        <w:suppressAutoHyphens w:val="0"/>
        <w:textAlignment w:val="auto"/>
        <w:rPr>
          <w:rFonts w:cs="Tahoma"/>
          <w:sz w:val="24"/>
          <w:szCs w:val="24"/>
        </w:rPr>
      </w:pPr>
      <w:r w:rsidRPr="00DC3D3A">
        <w:rPr>
          <w:rFonts w:cs="Tahoma"/>
          <w:sz w:val="24"/>
          <w:szCs w:val="24"/>
        </w:rPr>
        <w:t>Dentro del recinto se ubica el Banco de Alimentos de Tenerife, integrado en la Federación Española de Bancos de Alimentos (FESBAL), entidad apolítica y aconfesional fundada en 1995 que lucha contra el hambre, la pobreza y el desperdicio alimentario. Durante 2024, el Banco de Alimentos gestionó en torno a un millón y medio de kilos de alimentos, de los cuales unos cien mil kg fueron aportados directamente por los mayoristas del mercado, además de las donaciones diarias que numerosos operadores realizan a las ONG que acuden a las instalaciones.</w:t>
      </w:r>
    </w:p>
    <w:p w14:paraId="4A64417F" w14:textId="37F6E330" w:rsidR="00DC3D3A" w:rsidRDefault="00DC3D3A">
      <w:pPr>
        <w:suppressAutoHyphens w:val="0"/>
        <w:jc w:val="left"/>
        <w:textAlignment w:val="auto"/>
        <w:rPr>
          <w:rFonts w:cs="Tahoma"/>
          <w:sz w:val="24"/>
          <w:szCs w:val="24"/>
        </w:rPr>
      </w:pPr>
    </w:p>
    <w:p w14:paraId="24352EB6" w14:textId="4E942437" w:rsidR="00DC3D3A" w:rsidRPr="00BE7938" w:rsidRDefault="00DC3D3A" w:rsidP="00DC3D3A">
      <w:pPr>
        <w:pStyle w:val="Subttulo"/>
        <w:numPr>
          <w:ilvl w:val="0"/>
          <w:numId w:val="5"/>
        </w:numPr>
        <w:rPr>
          <w:rStyle w:val="Textoennegrita"/>
          <w:rFonts w:ascii="Tahoma" w:hAnsi="Tahoma"/>
          <w:bCs w:val="0"/>
          <w:color w:val="252525"/>
          <w:sz w:val="28"/>
          <w:szCs w:val="28"/>
        </w:rPr>
      </w:pPr>
      <w:r w:rsidRPr="00BE7938">
        <w:rPr>
          <w:rStyle w:val="Textoennegrita"/>
          <w:rFonts w:ascii="Tahoma" w:hAnsi="Tahoma"/>
          <w:bCs w:val="0"/>
          <w:color w:val="252525"/>
          <w:sz w:val="28"/>
          <w:szCs w:val="28"/>
        </w:rPr>
        <w:t xml:space="preserve">Información </w:t>
      </w:r>
      <w:r>
        <w:rPr>
          <w:rStyle w:val="Textoennegrita"/>
          <w:rFonts w:ascii="Tahoma" w:hAnsi="Tahoma"/>
          <w:bCs w:val="0"/>
          <w:color w:val="252525"/>
          <w:sz w:val="28"/>
          <w:szCs w:val="28"/>
        </w:rPr>
        <w:t>económica.</w:t>
      </w:r>
    </w:p>
    <w:p w14:paraId="3AB5B8E1" w14:textId="4A29677F" w:rsidR="00594FEC" w:rsidRDefault="00DC3D3A">
      <w:pPr>
        <w:rPr>
          <w:rFonts w:cs="Tahoma"/>
          <w:sz w:val="24"/>
          <w:szCs w:val="24"/>
        </w:rPr>
      </w:pPr>
      <w:r w:rsidRPr="00DC3D3A">
        <w:rPr>
          <w:rFonts w:cs="Tahoma"/>
          <w:sz w:val="24"/>
          <w:szCs w:val="24"/>
        </w:rPr>
        <w:t>MERCATENERIFE se financia mediante una combinación de ingresos propios de explotación —arrendamiento de espacios comerciales, tasa de recogida selectiva y alquiler de cubiertas para placas fotovoltaicas, entre otros— y, en su caso, aportaciones públicas vinculadas a su condición de sociedad participada por el Cabildo Insular de Tenerife, MERCASA y los ayuntamientos de la isla. El ejercicio 2025, auditado, ha sido el mejor de toda su historia (51 años), con una situación financiera saneada: deuda bancaria inexistente, reservas y fondos propios en crecimiento, y un grado de autofinanciación del 95,96 %.</w:t>
      </w:r>
    </w:p>
    <w:p w14:paraId="31744509" w14:textId="77777777" w:rsidR="00594FEC" w:rsidRDefault="00594FEC">
      <w:pPr>
        <w:suppressAutoHyphens w:val="0"/>
        <w:jc w:val="left"/>
        <w:textAlignment w:val="auto"/>
        <w:rPr>
          <w:rFonts w:cs="Tahoma"/>
          <w:sz w:val="24"/>
          <w:szCs w:val="24"/>
        </w:rPr>
      </w:pPr>
      <w:r>
        <w:rPr>
          <w:rFonts w:cs="Tahoma"/>
          <w:sz w:val="24"/>
          <w:szCs w:val="24"/>
        </w:rPr>
        <w:br w:type="page"/>
      </w:r>
    </w:p>
    <w:p w14:paraId="7B997BA5" w14:textId="77777777" w:rsidR="00AE7AB8" w:rsidRDefault="00AE7AB8">
      <w:pPr>
        <w:rPr>
          <w:rFonts w:cs="Tahoma"/>
          <w:sz w:val="24"/>
          <w:szCs w:val="24"/>
        </w:rPr>
      </w:pPr>
    </w:p>
    <w:p w14:paraId="5CE098BE" w14:textId="77777777" w:rsidR="00DC3D3A" w:rsidRDefault="00DC3D3A">
      <w:pPr>
        <w:rPr>
          <w:rFonts w:cs="Tahoma"/>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55"/>
        <w:gridCol w:w="1755"/>
        <w:gridCol w:w="1755"/>
        <w:gridCol w:w="1755"/>
      </w:tblGrid>
      <w:tr w:rsidR="00DC3D3A" w14:paraId="4947BBAD" w14:textId="77777777" w:rsidTr="00181F1C">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AAA2795" w14:textId="77777777" w:rsidR="00DC3D3A" w:rsidRDefault="00DC3D3A" w:rsidP="00181F1C">
            <w:r>
              <w:rPr>
                <w:b/>
                <w:bCs/>
                <w:color w:val="FFFFFF"/>
              </w:rPr>
              <w:t>Indicador</w:t>
            </w:r>
          </w:p>
        </w:tc>
        <w:tc>
          <w:tcPr>
            <w:tcW w:w="1755"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CBD3B3A" w14:textId="77777777" w:rsidR="00DC3D3A" w:rsidRDefault="00DC3D3A" w:rsidP="00181F1C">
            <w:pPr>
              <w:jc w:val="center"/>
            </w:pPr>
            <w:r>
              <w:rPr>
                <w:b/>
                <w:bCs/>
                <w:color w:val="FFFFFF"/>
              </w:rPr>
              <w:t>2021</w:t>
            </w:r>
          </w:p>
        </w:tc>
        <w:tc>
          <w:tcPr>
            <w:tcW w:w="1755"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295C71B" w14:textId="77777777" w:rsidR="00DC3D3A" w:rsidRDefault="00DC3D3A" w:rsidP="00181F1C">
            <w:pPr>
              <w:jc w:val="center"/>
            </w:pPr>
            <w:r>
              <w:rPr>
                <w:b/>
                <w:bCs/>
                <w:color w:val="FFFFFF"/>
              </w:rPr>
              <w:t>2023</w:t>
            </w:r>
          </w:p>
        </w:tc>
        <w:tc>
          <w:tcPr>
            <w:tcW w:w="1755"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7044900" w14:textId="77777777" w:rsidR="00DC3D3A" w:rsidRDefault="00DC3D3A" w:rsidP="00181F1C">
            <w:pPr>
              <w:jc w:val="center"/>
            </w:pPr>
            <w:r>
              <w:rPr>
                <w:b/>
                <w:bCs/>
                <w:color w:val="FFFFFF"/>
              </w:rPr>
              <w:t>2025</w:t>
            </w:r>
          </w:p>
        </w:tc>
        <w:tc>
          <w:tcPr>
            <w:tcW w:w="1755"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A7157F2" w14:textId="77777777" w:rsidR="00DC3D3A" w:rsidRDefault="00DC3D3A" w:rsidP="00181F1C">
            <w:pPr>
              <w:jc w:val="center"/>
            </w:pPr>
            <w:r>
              <w:rPr>
                <w:b/>
                <w:bCs/>
                <w:color w:val="FFFFFF"/>
              </w:rPr>
              <w:t>Crecimiento 21-25</w:t>
            </w:r>
          </w:p>
        </w:tc>
      </w:tr>
      <w:tr w:rsidR="00DC3D3A" w14:paraId="225F291F" w14:textId="77777777" w:rsidTr="00181F1C">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F7B0BD" w14:textId="77777777" w:rsidR="00DC3D3A" w:rsidRDefault="00DC3D3A" w:rsidP="00181F1C">
            <w:r>
              <w:t>Cifra de negocio</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443B25" w14:textId="77777777" w:rsidR="00DC3D3A" w:rsidRDefault="00DC3D3A" w:rsidP="00181F1C">
            <w:pPr>
              <w:jc w:val="center"/>
            </w:pPr>
            <w:r>
              <w:t>2.820.532 €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9DD748" w14:textId="77777777" w:rsidR="00DC3D3A" w:rsidRDefault="00DC3D3A" w:rsidP="00181F1C">
            <w:pPr>
              <w:jc w:val="center"/>
            </w:pPr>
            <w:r>
              <w:t>4.292.042 €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589AA7" w14:textId="77777777" w:rsidR="00DC3D3A" w:rsidRDefault="00DC3D3A" w:rsidP="00181F1C">
            <w:pPr>
              <w:jc w:val="center"/>
            </w:pPr>
            <w:r>
              <w:t>4.707.512 €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C31ED07" w14:textId="77777777" w:rsidR="00DC3D3A" w:rsidRDefault="00DC3D3A" w:rsidP="00181F1C">
            <w:pPr>
              <w:jc w:val="center"/>
            </w:pPr>
            <w:r>
              <w:rPr>
                <w:b/>
                <w:bCs/>
              </w:rPr>
              <w:t>+66,9 %</w:t>
            </w:r>
          </w:p>
        </w:tc>
      </w:tr>
      <w:tr w:rsidR="00DC3D3A" w14:paraId="48A9AED9" w14:textId="77777777" w:rsidTr="00181F1C">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7B93C3D" w14:textId="77777777" w:rsidR="00DC3D3A" w:rsidRDefault="00DC3D3A" w:rsidP="00181F1C">
            <w:r>
              <w:t>Resultado</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848CFEB" w14:textId="77777777" w:rsidR="00DC3D3A" w:rsidRDefault="00DC3D3A" w:rsidP="00181F1C">
            <w:pPr>
              <w:jc w:val="center"/>
            </w:pPr>
            <w:r>
              <w:t>1.051.309 €</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C5D4974" w14:textId="77777777" w:rsidR="00DC3D3A" w:rsidRDefault="00DC3D3A" w:rsidP="00181F1C">
            <w:pPr>
              <w:jc w:val="center"/>
            </w:pPr>
            <w:r>
              <w:t>1.567.026 €</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1D7D43D" w14:textId="77777777" w:rsidR="00DC3D3A" w:rsidRDefault="00DC3D3A" w:rsidP="00181F1C">
            <w:pPr>
              <w:jc w:val="center"/>
            </w:pPr>
            <w:r>
              <w:t>1.734.453 €</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FF5ED9E" w14:textId="77777777" w:rsidR="00DC3D3A" w:rsidRDefault="00DC3D3A" w:rsidP="00181F1C">
            <w:pPr>
              <w:jc w:val="center"/>
            </w:pPr>
            <w:r>
              <w:rPr>
                <w:b/>
                <w:bCs/>
              </w:rPr>
              <w:t>+65,0 %</w:t>
            </w:r>
          </w:p>
        </w:tc>
      </w:tr>
      <w:tr w:rsidR="00DC3D3A" w14:paraId="43E12222" w14:textId="77777777" w:rsidTr="00181F1C">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A59CC4" w14:textId="77777777" w:rsidR="00DC3D3A" w:rsidRDefault="00DC3D3A" w:rsidP="00181F1C">
            <w:r>
              <w:t>Dividendos</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7BCE30" w14:textId="77777777" w:rsidR="00DC3D3A" w:rsidRDefault="00DC3D3A" w:rsidP="00181F1C">
            <w:pPr>
              <w:jc w:val="center"/>
            </w:pPr>
            <w:r>
              <w:t>800.000 €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A1F01E" w14:textId="77777777" w:rsidR="00DC3D3A" w:rsidRDefault="00DC3D3A" w:rsidP="00181F1C">
            <w:pPr>
              <w:jc w:val="center"/>
            </w:pPr>
            <w:r>
              <w:t>800.000 €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38558DC" w14:textId="77777777" w:rsidR="00DC3D3A" w:rsidRDefault="00DC3D3A" w:rsidP="00181F1C">
            <w:pPr>
              <w:jc w:val="center"/>
            </w:pPr>
            <w:r>
              <w:t>1.400.000 €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DAEBEF9" w14:textId="77777777" w:rsidR="00DC3D3A" w:rsidRDefault="00DC3D3A" w:rsidP="00181F1C">
            <w:pPr>
              <w:jc w:val="center"/>
            </w:pPr>
            <w:r>
              <w:rPr>
                <w:b/>
                <w:bCs/>
              </w:rPr>
              <w:t>+75,0 %</w:t>
            </w:r>
          </w:p>
        </w:tc>
      </w:tr>
      <w:tr w:rsidR="00DC3D3A" w14:paraId="7B7F0C5D" w14:textId="77777777" w:rsidTr="00181F1C">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EE75DBA" w14:textId="77777777" w:rsidR="00DC3D3A" w:rsidRDefault="00DC3D3A" w:rsidP="00181F1C">
            <w:r>
              <w:t>Inversiones</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D036735" w14:textId="77777777" w:rsidR="00DC3D3A" w:rsidRDefault="00DC3D3A" w:rsidP="00181F1C">
            <w:pPr>
              <w:jc w:val="center"/>
            </w:pPr>
            <w:r>
              <w:t>455.000 €</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69B56C4" w14:textId="77777777" w:rsidR="00DC3D3A" w:rsidRDefault="00DC3D3A" w:rsidP="00181F1C">
            <w:pPr>
              <w:jc w:val="center"/>
            </w:pPr>
            <w:r>
              <w:t>3.255.000 €</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05C5015" w14:textId="77777777" w:rsidR="00DC3D3A" w:rsidRDefault="00DC3D3A" w:rsidP="00181F1C">
            <w:pPr>
              <w:jc w:val="center"/>
            </w:pPr>
            <w:r>
              <w:t>4.948.000 €</w:t>
            </w:r>
          </w:p>
        </w:tc>
        <w:tc>
          <w:tcPr>
            <w:tcW w:w="1755"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078F5EB" w14:textId="77777777" w:rsidR="00DC3D3A" w:rsidRDefault="00DC3D3A" w:rsidP="00181F1C">
            <w:pPr>
              <w:jc w:val="center"/>
            </w:pPr>
            <w:r>
              <w:rPr>
                <w:b/>
                <w:bCs/>
              </w:rPr>
              <w:t>+987,7 %</w:t>
            </w:r>
          </w:p>
        </w:tc>
      </w:tr>
      <w:tr w:rsidR="00DC3D3A" w14:paraId="77C32378" w14:textId="77777777" w:rsidTr="00181F1C">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0A3D60" w14:textId="77777777" w:rsidR="00DC3D3A" w:rsidRDefault="00DC3D3A" w:rsidP="00181F1C">
            <w:r>
              <w:t>Ocupación comercial</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E173CD" w14:textId="77777777" w:rsidR="00DC3D3A" w:rsidRDefault="00DC3D3A" w:rsidP="00181F1C">
            <w:pPr>
              <w:jc w:val="center"/>
            </w:pPr>
            <w:r>
              <w:t>53 %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2456D8" w14:textId="77777777" w:rsidR="00DC3D3A" w:rsidRDefault="00DC3D3A" w:rsidP="00181F1C">
            <w:pPr>
              <w:jc w:val="center"/>
            </w:pPr>
            <w:r>
              <w:t>95 %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244802" w14:textId="77777777" w:rsidR="00DC3D3A" w:rsidRDefault="00DC3D3A" w:rsidP="00181F1C">
            <w:pPr>
              <w:jc w:val="center"/>
            </w:pPr>
            <w:r>
              <w:t>100 %</w:t>
            </w:r>
          </w:p>
        </w:tc>
        <w:tc>
          <w:tcPr>
            <w:tcW w:w="17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EB164C" w14:textId="77777777" w:rsidR="00DC3D3A" w:rsidRDefault="00DC3D3A" w:rsidP="00181F1C">
            <w:pPr>
              <w:jc w:val="center"/>
            </w:pPr>
            <w:r>
              <w:rPr>
                <w:b/>
                <w:bCs/>
              </w:rPr>
              <w:t>+88,7 %</w:t>
            </w:r>
          </w:p>
        </w:tc>
      </w:tr>
    </w:tbl>
    <w:p w14:paraId="5A6B7BEC" w14:textId="77777777" w:rsidR="00DC3D3A" w:rsidRDefault="00DC3D3A">
      <w:pPr>
        <w:suppressAutoHyphens w:val="0"/>
        <w:jc w:val="left"/>
        <w:textAlignment w:val="auto"/>
        <w:rPr>
          <w:rFonts w:cs="Tahoma"/>
          <w:sz w:val="24"/>
          <w:szCs w:val="24"/>
        </w:rPr>
      </w:pPr>
    </w:p>
    <w:p w14:paraId="666489C4" w14:textId="77777777" w:rsidR="00DC3D3A" w:rsidRDefault="00DC3D3A" w:rsidP="00DC3D3A">
      <w:pPr>
        <w:suppressAutoHyphens w:val="0"/>
        <w:textAlignment w:val="auto"/>
        <w:rPr>
          <w:rFonts w:cs="Tahoma"/>
          <w:sz w:val="24"/>
          <w:szCs w:val="24"/>
        </w:rPr>
      </w:pPr>
      <w:r w:rsidRPr="00DC3D3A">
        <w:rPr>
          <w:rFonts w:cs="Tahoma"/>
          <w:sz w:val="24"/>
          <w:szCs w:val="24"/>
        </w:rPr>
        <w:t>Entre los rasgos distintivos del modelo económico de MERCATENERIFE destacan su régimen fiscal canario (tributación por IGIC en lugar de IVA, y posibilidad de tributar al 4 % en el Impuesto de Sociedades dentro de la Zona Especial Canaria frente al 25 % del régimen general), la ausencia de ingresos por entrada de vehículos —compensada por la tasa de recogida selectiva y el alquiler de cubiertas, que en 2025 aportaron conjuntamente cerca del 6 % de los ingresos comerciales— y las restricciones de importación de plátano y frutas tropicales y de papa (salvo origen Reino Unido, Egipto o Israel), que protegen la producción local.</w:t>
      </w:r>
    </w:p>
    <w:p w14:paraId="0AF58EC3" w14:textId="77777777" w:rsidR="00DC3D3A" w:rsidRDefault="00DC3D3A" w:rsidP="00DC3D3A">
      <w:pPr>
        <w:suppressAutoHyphens w:val="0"/>
        <w:textAlignment w:val="auto"/>
        <w:rPr>
          <w:rFonts w:cs="Tahoma"/>
          <w:sz w:val="24"/>
          <w:szCs w:val="24"/>
        </w:rPr>
      </w:pPr>
    </w:p>
    <w:p w14:paraId="3A061EF0" w14:textId="414C01BE" w:rsidR="00DC3D3A" w:rsidRPr="00BE7938" w:rsidRDefault="00DC3D3A" w:rsidP="00DC3D3A">
      <w:pPr>
        <w:pStyle w:val="Subttulo"/>
        <w:numPr>
          <w:ilvl w:val="0"/>
          <w:numId w:val="5"/>
        </w:numPr>
        <w:rPr>
          <w:rStyle w:val="Textoennegrita"/>
          <w:rFonts w:ascii="Tahoma" w:hAnsi="Tahoma"/>
          <w:bCs w:val="0"/>
          <w:color w:val="252525"/>
          <w:sz w:val="28"/>
          <w:szCs w:val="28"/>
        </w:rPr>
      </w:pPr>
      <w:r w:rsidRPr="00BE7938">
        <w:rPr>
          <w:rStyle w:val="Textoennegrita"/>
          <w:rFonts w:ascii="Tahoma" w:hAnsi="Tahoma"/>
          <w:bCs w:val="0"/>
          <w:color w:val="252525"/>
          <w:sz w:val="28"/>
          <w:szCs w:val="28"/>
        </w:rPr>
        <w:t xml:space="preserve">Información </w:t>
      </w:r>
      <w:r>
        <w:rPr>
          <w:rStyle w:val="Textoennegrita"/>
          <w:rFonts w:ascii="Tahoma" w:hAnsi="Tahoma"/>
          <w:bCs w:val="0"/>
          <w:color w:val="252525"/>
          <w:sz w:val="28"/>
          <w:szCs w:val="28"/>
        </w:rPr>
        <w:t>cultural</w:t>
      </w:r>
      <w:r>
        <w:rPr>
          <w:rStyle w:val="Textoennegrita"/>
          <w:rFonts w:ascii="Tahoma" w:hAnsi="Tahoma"/>
          <w:bCs w:val="0"/>
          <w:color w:val="252525"/>
          <w:sz w:val="28"/>
          <w:szCs w:val="28"/>
        </w:rPr>
        <w:t>.</w:t>
      </w:r>
    </w:p>
    <w:p w14:paraId="0657A53F" w14:textId="77777777" w:rsidR="00DC3D3A" w:rsidRDefault="00DC3D3A" w:rsidP="00DC3D3A">
      <w:pPr>
        <w:suppressAutoHyphens w:val="0"/>
        <w:textAlignment w:val="auto"/>
        <w:rPr>
          <w:rFonts w:cs="Tahoma"/>
          <w:sz w:val="24"/>
          <w:szCs w:val="24"/>
        </w:rPr>
      </w:pPr>
      <w:r w:rsidRPr="00DC3D3A">
        <w:rPr>
          <w:rFonts w:cs="Tahoma"/>
          <w:sz w:val="24"/>
          <w:szCs w:val="24"/>
        </w:rPr>
        <w:t>Más allá de su función logística, MERCATENERIFE desempeña un papel en la transmisión y el sostenimiento de la cultura agroalimentaria y rural de la isla, promoviendo hábitos saludables, el conocimiento del medio rural canario y la cultura de la transparencia y la solidaridad entre la ciudadanía:</w:t>
      </w:r>
    </w:p>
    <w:p w14:paraId="74B951CF" w14:textId="77777777" w:rsidR="00DC3D3A" w:rsidRDefault="00DC3D3A" w:rsidP="00DC3D3A">
      <w:pPr>
        <w:suppressAutoHyphens w:val="0"/>
        <w:textAlignment w:val="auto"/>
        <w:rPr>
          <w:rFonts w:cs="Tahoma"/>
          <w:sz w:val="24"/>
          <w:szCs w:val="24"/>
        </w:rPr>
      </w:pPr>
    </w:p>
    <w:p w14:paraId="4BE6878B" w14:textId="10293E84" w:rsidR="00DC3D3A" w:rsidRPr="00DC3D3A" w:rsidRDefault="00DC3D3A" w:rsidP="00252236">
      <w:pPr>
        <w:numPr>
          <w:ilvl w:val="0"/>
          <w:numId w:val="2"/>
        </w:numPr>
        <w:suppressAutoHyphens w:val="0"/>
        <w:textAlignment w:val="auto"/>
        <w:rPr>
          <w:rFonts w:cs="Tahoma"/>
          <w:sz w:val="24"/>
          <w:szCs w:val="24"/>
        </w:rPr>
      </w:pPr>
      <w:r w:rsidRPr="00DC3D3A">
        <w:rPr>
          <w:rFonts w:cs="Tahoma"/>
          <w:sz w:val="24"/>
          <w:szCs w:val="24"/>
        </w:rPr>
        <w:t>Escuela Saludable: convenio con el Cabildo de Tenerife para talleres de fruta y hortaliza en colegios, que acercan a la infancia la cultura del producto local y los hábitos de alimentación saludable; renovado para los cursos 2025/2026 a 2028/2029.</w:t>
      </w:r>
    </w:p>
    <w:p w14:paraId="65EAB895" w14:textId="19500D32" w:rsidR="00DC3D3A" w:rsidRPr="00DC3D3A" w:rsidRDefault="00DC3D3A" w:rsidP="00252236">
      <w:pPr>
        <w:numPr>
          <w:ilvl w:val="0"/>
          <w:numId w:val="2"/>
        </w:numPr>
        <w:suppressAutoHyphens w:val="0"/>
        <w:textAlignment w:val="auto"/>
        <w:rPr>
          <w:rFonts w:cs="Tahoma"/>
          <w:sz w:val="24"/>
          <w:szCs w:val="24"/>
        </w:rPr>
      </w:pPr>
      <w:r w:rsidRPr="00DC3D3A">
        <w:rPr>
          <w:rFonts w:cs="Tahoma"/>
          <w:sz w:val="24"/>
          <w:szCs w:val="24"/>
        </w:rPr>
        <w:t>Patronato de la Fundación Tenerife Rural, entidad dedicada a la conservación y valorización del medio rural y la cultura agraria de la isla, en la que MERCATENERIFE participa junto a instituciones, entidades públicas y privadas y ciudadanía.</w:t>
      </w:r>
    </w:p>
    <w:p w14:paraId="78B82B34" w14:textId="2F16F654" w:rsidR="00DC3D3A" w:rsidRPr="00DC3D3A" w:rsidRDefault="00DC3D3A" w:rsidP="00252236">
      <w:pPr>
        <w:numPr>
          <w:ilvl w:val="0"/>
          <w:numId w:val="2"/>
        </w:numPr>
        <w:suppressAutoHyphens w:val="0"/>
        <w:textAlignment w:val="auto"/>
        <w:rPr>
          <w:rFonts w:cs="Tahoma"/>
          <w:sz w:val="24"/>
          <w:szCs w:val="24"/>
        </w:rPr>
      </w:pPr>
      <w:r w:rsidRPr="00DC3D3A">
        <w:rPr>
          <w:rFonts w:cs="Tahoma"/>
          <w:sz w:val="24"/>
          <w:szCs w:val="24"/>
        </w:rPr>
        <w:t xml:space="preserve">Programa Ingenia: </w:t>
      </w:r>
      <w:proofErr w:type="spellStart"/>
      <w:r w:rsidRPr="00DC3D3A">
        <w:rPr>
          <w:rFonts w:cs="Tahoma"/>
          <w:sz w:val="24"/>
          <w:szCs w:val="24"/>
        </w:rPr>
        <w:t>mentorización</w:t>
      </w:r>
      <w:proofErr w:type="spellEnd"/>
      <w:r w:rsidRPr="00DC3D3A">
        <w:rPr>
          <w:rFonts w:cs="Tahoma"/>
          <w:sz w:val="24"/>
          <w:szCs w:val="24"/>
        </w:rPr>
        <w:t xml:space="preserve"> de proyectos de alumnado de la Universidad de La Laguna, transmitiendo el conocimiento del sector mayorista agroalimentario a las nuevas generaciones.</w:t>
      </w:r>
    </w:p>
    <w:p w14:paraId="4C5E6C7D" w14:textId="1EF4D314" w:rsidR="00DC3D3A" w:rsidRPr="00DC3D3A" w:rsidRDefault="00DC3D3A" w:rsidP="00252236">
      <w:pPr>
        <w:numPr>
          <w:ilvl w:val="0"/>
          <w:numId w:val="2"/>
        </w:numPr>
        <w:suppressAutoHyphens w:val="0"/>
        <w:textAlignment w:val="auto"/>
        <w:rPr>
          <w:rFonts w:cs="Tahoma"/>
          <w:sz w:val="24"/>
          <w:szCs w:val="24"/>
        </w:rPr>
      </w:pPr>
      <w:r w:rsidRPr="00DC3D3A">
        <w:rPr>
          <w:rFonts w:cs="Tahoma"/>
          <w:sz w:val="24"/>
          <w:szCs w:val="24"/>
        </w:rPr>
        <w:t xml:space="preserve">Telemaratón solidario: campaña de recogida de alimentos para 40.000 familias en situación de pobreza extrema y de juguetes para miles de </w:t>
      </w:r>
      <w:proofErr w:type="gramStart"/>
      <w:r w:rsidRPr="00DC3D3A">
        <w:rPr>
          <w:rFonts w:cs="Tahoma"/>
          <w:sz w:val="24"/>
          <w:szCs w:val="24"/>
        </w:rPr>
        <w:t>niños y niñas</w:t>
      </w:r>
      <w:proofErr w:type="gramEnd"/>
      <w:r w:rsidRPr="00DC3D3A">
        <w:rPr>
          <w:rFonts w:cs="Tahoma"/>
          <w:sz w:val="24"/>
          <w:szCs w:val="24"/>
        </w:rPr>
        <w:t>, en colaboración con el Banco de Alimentos.</w:t>
      </w:r>
    </w:p>
    <w:p w14:paraId="5D74E853" w14:textId="31526296" w:rsidR="00DC3D3A" w:rsidRPr="00DC3D3A" w:rsidRDefault="00DC3D3A" w:rsidP="00252236">
      <w:pPr>
        <w:numPr>
          <w:ilvl w:val="0"/>
          <w:numId w:val="2"/>
        </w:numPr>
        <w:suppressAutoHyphens w:val="0"/>
        <w:textAlignment w:val="auto"/>
        <w:rPr>
          <w:rFonts w:cs="Tahoma"/>
          <w:sz w:val="24"/>
          <w:szCs w:val="24"/>
        </w:rPr>
      </w:pPr>
      <w:r w:rsidRPr="00DC3D3A">
        <w:rPr>
          <w:rFonts w:cs="Tahoma"/>
          <w:sz w:val="24"/>
          <w:szCs w:val="24"/>
        </w:rPr>
        <w:t>Carrera por la Vida: aportación de 6.000 piezas de fruta, vinculando la actividad del mercado con causas sociales y de salud pública.</w:t>
      </w:r>
    </w:p>
    <w:p w14:paraId="3637BE93" w14:textId="409CD06F" w:rsidR="00DC3D3A" w:rsidRDefault="00DC3D3A" w:rsidP="00252236">
      <w:pPr>
        <w:numPr>
          <w:ilvl w:val="0"/>
          <w:numId w:val="2"/>
        </w:numPr>
        <w:suppressAutoHyphens w:val="0"/>
        <w:textAlignment w:val="auto"/>
        <w:rPr>
          <w:rFonts w:cs="Tahoma"/>
          <w:sz w:val="24"/>
          <w:szCs w:val="24"/>
        </w:rPr>
      </w:pPr>
      <w:r w:rsidRPr="00DC3D3A">
        <w:rPr>
          <w:rFonts w:cs="Tahoma"/>
          <w:sz w:val="24"/>
          <w:szCs w:val="24"/>
        </w:rPr>
        <w:t>Cultura de la transparencia y la rendición de cuentas: MERCATENERIFE ha obtenido la puntuación máxima (10 sobre 10) en los índices de transparencia del Comisionado de Transparencia de Canarias durante los últimos años</w:t>
      </w:r>
      <w:r>
        <w:rPr>
          <w:rFonts w:cs="Tahoma"/>
          <w:sz w:val="24"/>
          <w:szCs w:val="24"/>
        </w:rPr>
        <w:t>.</w:t>
      </w:r>
    </w:p>
    <w:p w14:paraId="1F296796" w14:textId="77777777" w:rsidR="00DC3D3A" w:rsidRDefault="00DC3D3A" w:rsidP="00DC3D3A">
      <w:pPr>
        <w:suppressAutoHyphens w:val="0"/>
        <w:ind w:left="720"/>
        <w:textAlignment w:val="auto"/>
        <w:rPr>
          <w:rFonts w:cs="Tahoma"/>
          <w:sz w:val="24"/>
          <w:szCs w:val="24"/>
        </w:rPr>
      </w:pPr>
    </w:p>
    <w:p w14:paraId="186E8436" w14:textId="77777777" w:rsidR="00DC3D3A" w:rsidRDefault="00DC3D3A" w:rsidP="00DC3D3A">
      <w:pPr>
        <w:suppressAutoHyphens w:val="0"/>
        <w:textAlignment w:val="auto"/>
        <w:rPr>
          <w:rFonts w:cs="Tahoma"/>
          <w:sz w:val="24"/>
          <w:szCs w:val="24"/>
        </w:rPr>
      </w:pPr>
    </w:p>
    <w:p w14:paraId="62D2C8AF" w14:textId="61849BAC" w:rsidR="00DC3D3A" w:rsidRPr="00BE7938" w:rsidRDefault="00DC3D3A" w:rsidP="00DC3D3A">
      <w:pPr>
        <w:pStyle w:val="Subttulo"/>
        <w:numPr>
          <w:ilvl w:val="0"/>
          <w:numId w:val="5"/>
        </w:numPr>
        <w:rPr>
          <w:rStyle w:val="Textoennegrita"/>
          <w:rFonts w:ascii="Tahoma" w:hAnsi="Tahoma"/>
          <w:bCs w:val="0"/>
          <w:color w:val="252525"/>
          <w:sz w:val="28"/>
          <w:szCs w:val="28"/>
        </w:rPr>
      </w:pPr>
      <w:r>
        <w:rPr>
          <w:rStyle w:val="Textoennegrita"/>
          <w:rFonts w:ascii="Tahoma" w:hAnsi="Tahoma"/>
          <w:bCs w:val="0"/>
          <w:color w:val="252525"/>
          <w:sz w:val="28"/>
          <w:szCs w:val="28"/>
        </w:rPr>
        <w:t xml:space="preserve">Anexo. Compromiso ambiental, calidad y certificaciones. </w:t>
      </w:r>
    </w:p>
    <w:p w14:paraId="7F0E63E5" w14:textId="77777777" w:rsidR="00DC3D3A" w:rsidRPr="00DC3D3A" w:rsidRDefault="00DC3D3A" w:rsidP="00DC3D3A">
      <w:pPr>
        <w:suppressAutoHyphens w:val="0"/>
        <w:textAlignment w:val="auto"/>
        <w:rPr>
          <w:rFonts w:cs="Tahoma"/>
          <w:sz w:val="24"/>
          <w:szCs w:val="24"/>
        </w:rPr>
      </w:pPr>
      <w:r w:rsidRPr="00DC3D3A">
        <w:rPr>
          <w:rFonts w:cs="Tahoma"/>
          <w:sz w:val="24"/>
          <w:szCs w:val="24"/>
        </w:rPr>
        <w:t>Como información complementaria a los seis bloques anteriores, se detalla a continuación el sistema de gestión de calidad, medio ambiente y cumplimiento normativo de la entidad.</w:t>
      </w:r>
    </w:p>
    <w:p w14:paraId="09B96DC6" w14:textId="77777777" w:rsidR="00594FEC" w:rsidRDefault="00DC3D3A" w:rsidP="00DC3D3A">
      <w:pPr>
        <w:suppressAutoHyphens w:val="0"/>
        <w:textAlignment w:val="auto"/>
        <w:rPr>
          <w:rFonts w:cs="Tahoma"/>
          <w:sz w:val="24"/>
          <w:szCs w:val="24"/>
        </w:rPr>
      </w:pPr>
      <w:r w:rsidRPr="00DC3D3A">
        <w:rPr>
          <w:rFonts w:cs="Tahoma"/>
          <w:sz w:val="24"/>
          <w:szCs w:val="24"/>
        </w:rPr>
        <w:t>MERCATENERIFE obtuvo la certificación de Gestión Ambiental UNE-EN-ISO 14001 en 2006, renovada satisfactoriamente en 2023, y mantiene desde entonces una política activa de reducción de impactos ambientales en sus instalaciones: sustitución de productos químicos de limpieza por biológicos, uso de maquinaria eléctrica, automatismos de encendido según variables astronómicas, baterías de condensadores para reducir el consumo de energía reactiva, sustitución de luminarias por tecnología LED, racionalización del uso del agua y estudio e implantación de energías alternativas mediante placas fotovoltaicas en las cubiertas de las naves.</w:t>
      </w:r>
    </w:p>
    <w:p w14:paraId="015762A5" w14:textId="77777777" w:rsidR="00594FEC" w:rsidRDefault="00594FEC" w:rsidP="00DC3D3A">
      <w:pPr>
        <w:suppressAutoHyphens w:val="0"/>
        <w:textAlignment w:val="auto"/>
        <w:rPr>
          <w:rFonts w:cs="Tahoma"/>
          <w:sz w:val="24"/>
          <w:szCs w:val="24"/>
        </w:rPr>
      </w:pPr>
    </w:p>
    <w:p w14:paraId="146C239D" w14:textId="1E1D2B0C" w:rsidR="00252236" w:rsidRPr="00252236" w:rsidRDefault="00594FEC" w:rsidP="00DC3D3A">
      <w:pPr>
        <w:suppressAutoHyphens w:val="0"/>
        <w:textAlignment w:val="auto"/>
        <w:rPr>
          <w:rFonts w:cs="Tahoma"/>
          <w:sz w:val="24"/>
          <w:szCs w:val="24"/>
        </w:rPr>
      </w:pPr>
      <w:r w:rsidRPr="00594FEC">
        <w:rPr>
          <w:rFonts w:cs="Tahoma"/>
          <w:b/>
          <w:bCs/>
          <w:sz w:val="24"/>
          <w:szCs w:val="24"/>
        </w:rPr>
        <w:t>Punto limpio y recogida selectiva.</w:t>
      </w:r>
      <w:r>
        <w:rPr>
          <w:rFonts w:cs="Tahoma"/>
          <w:b/>
          <w:bCs/>
          <w:sz w:val="24"/>
          <w:szCs w:val="24"/>
        </w:rPr>
        <w:t xml:space="preserve"> </w:t>
      </w:r>
      <w:r w:rsidRPr="00594FEC">
        <w:rPr>
          <w:rFonts w:cs="Tahoma"/>
          <w:sz w:val="24"/>
          <w:szCs w:val="24"/>
        </w:rPr>
        <w:t xml:space="preserve">El </w:t>
      </w:r>
      <w:r>
        <w:rPr>
          <w:rFonts w:cs="Tahoma"/>
          <w:sz w:val="24"/>
          <w:szCs w:val="24"/>
        </w:rPr>
        <w:t>p</w:t>
      </w:r>
      <w:r w:rsidRPr="00594FEC">
        <w:rPr>
          <w:rFonts w:cs="Tahoma"/>
          <w:sz w:val="24"/>
          <w:szCs w:val="24"/>
        </w:rPr>
        <w:t xml:space="preserve">unto </w:t>
      </w:r>
      <w:r>
        <w:rPr>
          <w:rFonts w:cs="Tahoma"/>
          <w:sz w:val="24"/>
          <w:szCs w:val="24"/>
        </w:rPr>
        <w:t>l</w:t>
      </w:r>
      <w:r w:rsidRPr="00594FEC">
        <w:rPr>
          <w:rFonts w:cs="Tahoma"/>
          <w:sz w:val="24"/>
          <w:szCs w:val="24"/>
        </w:rPr>
        <w:t>impio, operativo desde 2008, articula toda la gestión de residuos del recinto a través de compactadores específicos de cartón, plásticos, fracción orgánica, palets y residuos sólidos urbanos sin clasificar, además de puntos específicos de recogida de vidrio, baterías de vehículos y residuos tóxicos y peligrosos. En 2024 se segregaron un total de 3.179.743 kg de residuos, de los que 1.396.706 kg correspondieron a materia orgánica</w:t>
      </w:r>
      <w:r w:rsidR="00252236">
        <w:rPr>
          <w:rFonts w:cs="Tahoma"/>
          <w:sz w:val="24"/>
          <w:szCs w:val="24"/>
        </w:rPr>
        <w:t>. En 2025 el 100% de los residuos de plástico, madera, cartón y papel fueron reciclados por gestores autorizados y el 100% de los más de un millón cuatrocientos mil kilogramos de materia orgánica fueron transformados en compost, generando economía circular.</w:t>
      </w:r>
    </w:p>
    <w:p w14:paraId="68AAFAE2" w14:textId="77777777" w:rsidR="00594FEC" w:rsidRDefault="00594FEC" w:rsidP="00594FEC">
      <w:pPr>
        <w:suppressAutoHyphens w:val="0"/>
        <w:textAlignment w:val="auto"/>
        <w:rPr>
          <w:rFonts w:cs="Tahoma"/>
          <w:b/>
          <w:bCs/>
          <w:sz w:val="24"/>
          <w:szCs w:val="24"/>
        </w:rPr>
      </w:pPr>
    </w:p>
    <w:p w14:paraId="479F5989" w14:textId="1ACDD5D9" w:rsidR="00594FEC" w:rsidRDefault="00594FEC" w:rsidP="00DC3D3A">
      <w:pPr>
        <w:suppressAutoHyphens w:val="0"/>
        <w:textAlignment w:val="auto"/>
        <w:rPr>
          <w:rFonts w:cs="Tahoma"/>
          <w:sz w:val="24"/>
          <w:szCs w:val="24"/>
        </w:rPr>
      </w:pPr>
      <w:r>
        <w:rPr>
          <w:rFonts w:cs="Tahoma"/>
          <w:b/>
          <w:bCs/>
          <w:sz w:val="24"/>
          <w:szCs w:val="24"/>
        </w:rPr>
        <w:t>Compostaje y aprovechamiento de residuos orgánicos.</w:t>
      </w:r>
      <w:r w:rsidRPr="00594FEC">
        <w:t xml:space="preserve"> </w:t>
      </w:r>
      <w:r w:rsidRPr="00594FEC">
        <w:rPr>
          <w:rFonts w:cs="Tahoma"/>
          <w:sz w:val="24"/>
          <w:szCs w:val="24"/>
        </w:rPr>
        <w:t>La materia orgánica recogida —principalmente restos de fruta y hortaliza no comercializables, con una media de 80 toneladas mensuales— se traslada a las instalaciones de la empresa SERVIAGROC, S.L. en Guía de Isora, donde se transforma mediante compostaje en un abono orgánico maduro en un plazo inferior a tres meses. Esta práctica evita el vertido de aproximadamente un millón de kilos anuales y permite, según los compromisos vigentes para 2025, transformar el 100 % de los residuos orgánicos del mercado en compost (1.400.000 kg anuales), evitando además el uso de fertilizantes químicos de origen externo.</w:t>
      </w:r>
      <w:r w:rsidRPr="00594FEC">
        <w:rPr>
          <w:rFonts w:cs="Tahoma"/>
          <w:sz w:val="24"/>
          <w:szCs w:val="24"/>
        </w:rPr>
        <w:t xml:space="preserve"> </w:t>
      </w:r>
    </w:p>
    <w:p w14:paraId="498CE4D5" w14:textId="77777777" w:rsidR="00594FEC" w:rsidRDefault="00594FEC" w:rsidP="00DC3D3A">
      <w:pPr>
        <w:suppressAutoHyphens w:val="0"/>
        <w:textAlignment w:val="auto"/>
        <w:rPr>
          <w:rFonts w:cs="Tahoma"/>
          <w:sz w:val="24"/>
          <w:szCs w:val="24"/>
        </w:rPr>
      </w:pPr>
    </w:p>
    <w:p w14:paraId="01025A14" w14:textId="538194A2" w:rsidR="00594FEC" w:rsidRDefault="00594FEC" w:rsidP="00DC3D3A">
      <w:pPr>
        <w:suppressAutoHyphens w:val="0"/>
        <w:textAlignment w:val="auto"/>
        <w:rPr>
          <w:rFonts w:cs="Tahoma"/>
          <w:b/>
          <w:bCs/>
          <w:sz w:val="24"/>
          <w:szCs w:val="24"/>
        </w:rPr>
      </w:pPr>
      <w:r>
        <w:rPr>
          <w:rFonts w:cs="Tahoma"/>
          <w:b/>
          <w:bCs/>
          <w:sz w:val="24"/>
          <w:szCs w:val="24"/>
        </w:rPr>
        <w:t xml:space="preserve">Actuaciones de eficiencia y seguridad en marcha. </w:t>
      </w:r>
    </w:p>
    <w:p w14:paraId="69461276" w14:textId="729238AA" w:rsidR="00594FEC" w:rsidRPr="00594FEC" w:rsidRDefault="00594FEC" w:rsidP="00252236">
      <w:pPr>
        <w:numPr>
          <w:ilvl w:val="0"/>
          <w:numId w:val="2"/>
        </w:numPr>
        <w:suppressAutoHyphens w:val="0"/>
        <w:textAlignment w:val="auto"/>
        <w:rPr>
          <w:rFonts w:cs="Tahoma"/>
          <w:sz w:val="24"/>
          <w:szCs w:val="24"/>
        </w:rPr>
      </w:pPr>
      <w:r w:rsidRPr="00594FEC">
        <w:rPr>
          <w:rFonts w:cs="Tahoma"/>
          <w:sz w:val="24"/>
          <w:szCs w:val="24"/>
        </w:rPr>
        <w:t>Obra de seguridad y mejora paisajística del Barranco de la TF-1 (62.116 m², 3.051.000 €).</w:t>
      </w:r>
    </w:p>
    <w:p w14:paraId="403F3074" w14:textId="6E94CBD0" w:rsidR="00594FEC" w:rsidRPr="00594FEC" w:rsidRDefault="00594FEC" w:rsidP="00252236">
      <w:pPr>
        <w:numPr>
          <w:ilvl w:val="0"/>
          <w:numId w:val="2"/>
        </w:numPr>
        <w:suppressAutoHyphens w:val="0"/>
        <w:textAlignment w:val="auto"/>
        <w:rPr>
          <w:rFonts w:cs="Tahoma"/>
          <w:sz w:val="24"/>
          <w:szCs w:val="24"/>
        </w:rPr>
      </w:pPr>
      <w:r w:rsidRPr="00594FEC">
        <w:rPr>
          <w:rFonts w:cs="Tahoma"/>
          <w:sz w:val="24"/>
          <w:szCs w:val="24"/>
        </w:rPr>
        <w:t>Reforma de eficiencia energética del edificio administrativo.</w:t>
      </w:r>
    </w:p>
    <w:p w14:paraId="5332A815" w14:textId="5D5BE6B8" w:rsidR="00594FEC" w:rsidRPr="00594FEC" w:rsidRDefault="00594FEC" w:rsidP="00252236">
      <w:pPr>
        <w:numPr>
          <w:ilvl w:val="0"/>
          <w:numId w:val="2"/>
        </w:numPr>
        <w:suppressAutoHyphens w:val="0"/>
        <w:textAlignment w:val="auto"/>
        <w:rPr>
          <w:rFonts w:cs="Tahoma"/>
          <w:sz w:val="24"/>
          <w:szCs w:val="24"/>
        </w:rPr>
      </w:pPr>
      <w:r w:rsidRPr="00594FEC">
        <w:rPr>
          <w:rFonts w:cs="Tahoma"/>
          <w:sz w:val="24"/>
          <w:szCs w:val="24"/>
        </w:rPr>
        <w:t>Instalación de 10 puntos de recarga para vehículos eléctricos.</w:t>
      </w:r>
    </w:p>
    <w:p w14:paraId="59671494" w14:textId="29AEF9EF" w:rsidR="00594FEC" w:rsidRPr="00594FEC" w:rsidRDefault="00594FEC" w:rsidP="00252236">
      <w:pPr>
        <w:numPr>
          <w:ilvl w:val="0"/>
          <w:numId w:val="2"/>
        </w:numPr>
        <w:suppressAutoHyphens w:val="0"/>
        <w:textAlignment w:val="auto"/>
        <w:rPr>
          <w:rFonts w:cs="Tahoma"/>
          <w:sz w:val="24"/>
          <w:szCs w:val="24"/>
        </w:rPr>
      </w:pPr>
      <w:r w:rsidRPr="00594FEC">
        <w:rPr>
          <w:rFonts w:cs="Tahoma"/>
          <w:sz w:val="24"/>
          <w:szCs w:val="24"/>
        </w:rPr>
        <w:t>Renovación de cúpulas de naves y edificio de administración, red de hidrantes contraincendios, red de abastecimiento de agua, depuradora, luminarias, CCTV y sistema de control de entrada.</w:t>
      </w:r>
    </w:p>
    <w:p w14:paraId="2B7183FB" w14:textId="38B71E8A" w:rsidR="00594FEC" w:rsidRDefault="00594FEC" w:rsidP="00252236">
      <w:pPr>
        <w:numPr>
          <w:ilvl w:val="0"/>
          <w:numId w:val="2"/>
        </w:numPr>
        <w:suppressAutoHyphens w:val="0"/>
        <w:textAlignment w:val="auto"/>
        <w:rPr>
          <w:rFonts w:cs="Tahoma"/>
          <w:sz w:val="24"/>
          <w:szCs w:val="24"/>
        </w:rPr>
      </w:pPr>
      <w:r w:rsidRPr="00594FEC">
        <w:rPr>
          <w:rFonts w:cs="Tahoma"/>
          <w:sz w:val="24"/>
          <w:szCs w:val="24"/>
        </w:rPr>
        <w:t>Rehabilitación de jardines interiores y eliminación de barreras arquitectónicas (rampas en naves del mercado).</w:t>
      </w:r>
    </w:p>
    <w:p w14:paraId="7ED94E6D" w14:textId="2797368D" w:rsidR="00252236" w:rsidRDefault="00252236" w:rsidP="00594FEC">
      <w:pPr>
        <w:suppressAutoHyphens w:val="0"/>
        <w:ind w:left="720"/>
        <w:textAlignment w:val="auto"/>
        <w:rPr>
          <w:rFonts w:cs="Tahoma"/>
          <w:sz w:val="24"/>
          <w:szCs w:val="24"/>
        </w:rPr>
      </w:pPr>
      <w:r>
        <w:rPr>
          <w:rFonts w:cs="Tahoma"/>
          <w:sz w:val="24"/>
          <w:szCs w:val="24"/>
        </w:rPr>
        <w:br w:type="page"/>
      </w:r>
    </w:p>
    <w:p w14:paraId="3AA8DA77" w14:textId="77777777" w:rsidR="00594FEC" w:rsidRPr="00594FEC" w:rsidRDefault="00594FEC" w:rsidP="00594FEC">
      <w:pPr>
        <w:suppressAutoHyphens w:val="0"/>
        <w:ind w:left="720"/>
        <w:textAlignment w:val="auto"/>
        <w:rPr>
          <w:rFonts w:cs="Tahoma"/>
          <w:sz w:val="24"/>
          <w:szCs w:val="24"/>
        </w:rPr>
      </w:pPr>
    </w:p>
    <w:p w14:paraId="7BF8808F" w14:textId="517D8B00" w:rsidR="00594FEC" w:rsidRDefault="00594FEC" w:rsidP="00594FEC">
      <w:pPr>
        <w:suppressAutoHyphens w:val="0"/>
        <w:textAlignment w:val="auto"/>
        <w:rPr>
          <w:rFonts w:cs="Tahoma"/>
          <w:b/>
          <w:bCs/>
          <w:sz w:val="24"/>
          <w:szCs w:val="24"/>
        </w:rPr>
      </w:pPr>
      <w:r>
        <w:rPr>
          <w:rFonts w:cs="Tahoma"/>
          <w:b/>
          <w:bCs/>
          <w:sz w:val="24"/>
          <w:szCs w:val="24"/>
        </w:rPr>
        <w:t>Calidad, seguridad y certificaciones.</w:t>
      </w:r>
      <w:r>
        <w:rPr>
          <w:rFonts w:cs="Tahoma"/>
          <w:b/>
          <w:bCs/>
          <w:sz w:val="24"/>
          <w:szCs w:val="24"/>
        </w:rPr>
        <w:t xml:space="preserve"> </w:t>
      </w:r>
    </w:p>
    <w:p w14:paraId="28335F99" w14:textId="77777777" w:rsidR="00594FEC" w:rsidRDefault="00594FEC" w:rsidP="00594FEC">
      <w:pPr>
        <w:suppressAutoHyphens w:val="0"/>
        <w:jc w:val="left"/>
        <w:textAlignment w:val="auto"/>
        <w:rPr>
          <w:rFonts w:cs="Tahoma"/>
          <w:sz w:val="24"/>
          <w:szCs w:val="24"/>
        </w:rPr>
      </w:pPr>
      <w:r w:rsidRPr="00594FEC">
        <w:rPr>
          <w:rFonts w:cs="Tahoma"/>
          <w:sz w:val="24"/>
          <w:szCs w:val="24"/>
        </w:rPr>
        <w:t>La gestión de MERCATENERIFE se sustenta en un conjunto de sistemas certificados que abarcan calidad, medio ambiente, seguridad de la información, igualdad y cumplimiento normativo:</w:t>
      </w:r>
    </w:p>
    <w:p w14:paraId="2E57B6C1" w14:textId="77777777" w:rsidR="00594FEC" w:rsidRPr="00594FEC" w:rsidRDefault="00594FEC" w:rsidP="00594FEC">
      <w:pPr>
        <w:suppressAutoHyphens w:val="0"/>
        <w:jc w:val="left"/>
        <w:textAlignment w:val="auto"/>
        <w:rPr>
          <w:rFonts w:cs="Tahoma"/>
          <w:sz w:val="24"/>
          <w:szCs w:val="24"/>
        </w:rPr>
      </w:pPr>
    </w:p>
    <w:p w14:paraId="55E72E19" w14:textId="01325DE9" w:rsidR="00594FEC" w:rsidRPr="00594FEC" w:rsidRDefault="00594FEC" w:rsidP="00252236">
      <w:pPr>
        <w:numPr>
          <w:ilvl w:val="0"/>
          <w:numId w:val="2"/>
        </w:numPr>
        <w:suppressAutoHyphens w:val="0"/>
        <w:jc w:val="left"/>
        <w:textAlignment w:val="auto"/>
        <w:rPr>
          <w:rFonts w:cs="Tahoma"/>
          <w:sz w:val="24"/>
          <w:szCs w:val="24"/>
        </w:rPr>
      </w:pPr>
      <w:r w:rsidRPr="00594FEC">
        <w:rPr>
          <w:rFonts w:cs="Tahoma"/>
          <w:sz w:val="24"/>
          <w:szCs w:val="24"/>
        </w:rPr>
        <w:t>Certificación ISO 9001 — Sistema de Gestión de Calidad.</w:t>
      </w:r>
    </w:p>
    <w:p w14:paraId="20E053CB" w14:textId="0449590A" w:rsidR="00594FEC" w:rsidRDefault="00594FEC" w:rsidP="00252236">
      <w:pPr>
        <w:numPr>
          <w:ilvl w:val="0"/>
          <w:numId w:val="2"/>
        </w:numPr>
        <w:suppressAutoHyphens w:val="0"/>
        <w:jc w:val="left"/>
        <w:textAlignment w:val="auto"/>
        <w:rPr>
          <w:rFonts w:cs="Tahoma"/>
          <w:sz w:val="24"/>
          <w:szCs w:val="24"/>
        </w:rPr>
      </w:pPr>
      <w:r w:rsidRPr="00594FEC">
        <w:rPr>
          <w:rFonts w:cs="Tahoma"/>
          <w:sz w:val="24"/>
          <w:szCs w:val="24"/>
        </w:rPr>
        <w:t>Certificación ISO 14001 — Sistema de Gestión Ambiental (desde 2006, renovada en 2023).</w:t>
      </w:r>
    </w:p>
    <w:p w14:paraId="1345AB77" w14:textId="77777777" w:rsidR="00252236" w:rsidRDefault="00252236" w:rsidP="00252236">
      <w:pPr>
        <w:numPr>
          <w:ilvl w:val="0"/>
          <w:numId w:val="2"/>
        </w:numPr>
        <w:suppressAutoHyphens w:val="0"/>
        <w:jc w:val="left"/>
        <w:textAlignment w:val="auto"/>
        <w:rPr>
          <w:rFonts w:cs="Tahoma"/>
          <w:sz w:val="24"/>
          <w:szCs w:val="24"/>
        </w:rPr>
      </w:pPr>
      <w:r w:rsidRPr="00594FEC">
        <w:rPr>
          <w:rFonts w:cs="Tahoma"/>
          <w:sz w:val="24"/>
          <w:szCs w:val="24"/>
        </w:rPr>
        <w:t>Condición de Operador de Servicios Esenciales, con Plan de Autoprotección, Plan de Protección Específica y Plan de Seguridad del Operador.</w:t>
      </w:r>
    </w:p>
    <w:p w14:paraId="58FB5D00" w14:textId="0CE97A40" w:rsidR="00594FEC" w:rsidRPr="00594FEC" w:rsidRDefault="00594FEC" w:rsidP="00252236">
      <w:pPr>
        <w:numPr>
          <w:ilvl w:val="0"/>
          <w:numId w:val="2"/>
        </w:numPr>
        <w:suppressAutoHyphens w:val="0"/>
        <w:jc w:val="left"/>
        <w:textAlignment w:val="auto"/>
        <w:rPr>
          <w:rFonts w:cs="Tahoma"/>
          <w:sz w:val="24"/>
          <w:szCs w:val="24"/>
        </w:rPr>
      </w:pPr>
      <w:r w:rsidRPr="00594FEC">
        <w:rPr>
          <w:rFonts w:cs="Tahoma"/>
          <w:sz w:val="24"/>
          <w:szCs w:val="24"/>
        </w:rPr>
        <w:t>Esquema Nacional de Seguridad (ENS) — categoría media.</w:t>
      </w:r>
    </w:p>
    <w:p w14:paraId="3E2BA310" w14:textId="5D512CA2" w:rsidR="00594FEC" w:rsidRPr="00594FEC" w:rsidRDefault="00594FEC" w:rsidP="00252236">
      <w:pPr>
        <w:numPr>
          <w:ilvl w:val="0"/>
          <w:numId w:val="2"/>
        </w:numPr>
        <w:suppressAutoHyphens w:val="0"/>
        <w:jc w:val="left"/>
        <w:textAlignment w:val="auto"/>
        <w:rPr>
          <w:rFonts w:cs="Tahoma"/>
          <w:sz w:val="24"/>
          <w:szCs w:val="24"/>
        </w:rPr>
      </w:pPr>
      <w:r w:rsidRPr="00594FEC">
        <w:rPr>
          <w:rFonts w:cs="Tahoma"/>
          <w:sz w:val="24"/>
          <w:szCs w:val="24"/>
        </w:rPr>
        <w:t>Plan de Igualdad — en vigor, de carácter voluntario.</w:t>
      </w:r>
      <w:r w:rsidR="00252236">
        <w:rPr>
          <w:rFonts w:cs="Tahoma"/>
          <w:sz w:val="24"/>
          <w:szCs w:val="24"/>
        </w:rPr>
        <w:t xml:space="preserve"> (2023)</w:t>
      </w:r>
    </w:p>
    <w:p w14:paraId="2B1B8364" w14:textId="4C679F3F" w:rsidR="00594FEC" w:rsidRPr="00594FEC" w:rsidRDefault="00594FEC" w:rsidP="00252236">
      <w:pPr>
        <w:numPr>
          <w:ilvl w:val="0"/>
          <w:numId w:val="2"/>
        </w:numPr>
        <w:suppressAutoHyphens w:val="0"/>
        <w:jc w:val="left"/>
        <w:textAlignment w:val="auto"/>
        <w:rPr>
          <w:rFonts w:cs="Tahoma"/>
          <w:sz w:val="24"/>
          <w:szCs w:val="24"/>
        </w:rPr>
      </w:pPr>
      <w:r w:rsidRPr="00594FEC">
        <w:rPr>
          <w:rFonts w:cs="Tahoma"/>
          <w:sz w:val="24"/>
          <w:szCs w:val="24"/>
        </w:rPr>
        <w:t>Sistema de Gestión de Cumplimiento (</w:t>
      </w:r>
      <w:proofErr w:type="spellStart"/>
      <w:r w:rsidRPr="00594FEC">
        <w:rPr>
          <w:rFonts w:cs="Tahoma"/>
          <w:sz w:val="24"/>
          <w:szCs w:val="24"/>
        </w:rPr>
        <w:t>Compliance</w:t>
      </w:r>
      <w:proofErr w:type="spellEnd"/>
      <w:r w:rsidRPr="00594FEC">
        <w:rPr>
          <w:rFonts w:cs="Tahoma"/>
          <w:sz w:val="24"/>
          <w:szCs w:val="24"/>
        </w:rPr>
        <w:t>)</w:t>
      </w:r>
      <w:r w:rsidR="00252236">
        <w:rPr>
          <w:rFonts w:cs="Tahoma"/>
          <w:sz w:val="24"/>
          <w:szCs w:val="24"/>
        </w:rPr>
        <w:t xml:space="preserve"> (2024)</w:t>
      </w:r>
    </w:p>
    <w:p w14:paraId="59B90C4A" w14:textId="5E6D710F" w:rsidR="00252236" w:rsidRDefault="00252236" w:rsidP="00252236">
      <w:pPr>
        <w:numPr>
          <w:ilvl w:val="0"/>
          <w:numId w:val="2"/>
        </w:numPr>
        <w:suppressAutoHyphens w:val="0"/>
        <w:jc w:val="left"/>
        <w:textAlignment w:val="auto"/>
        <w:rPr>
          <w:rFonts w:cs="Tahoma"/>
          <w:sz w:val="24"/>
          <w:szCs w:val="24"/>
        </w:rPr>
      </w:pPr>
      <w:r>
        <w:rPr>
          <w:rFonts w:cs="Tahoma"/>
          <w:sz w:val="24"/>
          <w:szCs w:val="24"/>
        </w:rPr>
        <w:t xml:space="preserve">Acuerdo con </w:t>
      </w:r>
      <w:proofErr w:type="spellStart"/>
      <w:r>
        <w:rPr>
          <w:rFonts w:cs="Tahoma"/>
          <w:sz w:val="24"/>
          <w:szCs w:val="24"/>
        </w:rPr>
        <w:t>Ecoembres</w:t>
      </w:r>
      <w:proofErr w:type="spellEnd"/>
      <w:r>
        <w:rPr>
          <w:rFonts w:cs="Tahoma"/>
          <w:sz w:val="24"/>
          <w:szCs w:val="24"/>
        </w:rPr>
        <w:t xml:space="preserve"> para la valorización de los residuos de madera domésticos. (2025)</w:t>
      </w:r>
    </w:p>
    <w:p w14:paraId="7A07BAB9" w14:textId="3747A70F" w:rsidR="00252236" w:rsidRDefault="00252236" w:rsidP="00252236">
      <w:pPr>
        <w:suppressAutoHyphens w:val="0"/>
        <w:jc w:val="left"/>
        <w:textAlignment w:val="auto"/>
        <w:rPr>
          <w:rFonts w:cs="Tahoma"/>
          <w:sz w:val="24"/>
          <w:szCs w:val="24"/>
        </w:rPr>
      </w:pPr>
    </w:p>
    <w:p w14:paraId="137D1CF9" w14:textId="77777777" w:rsidR="00252236" w:rsidRPr="00594FEC" w:rsidRDefault="00252236" w:rsidP="00594FEC">
      <w:pPr>
        <w:suppressAutoHyphens w:val="0"/>
        <w:ind w:left="720"/>
        <w:jc w:val="left"/>
        <w:textAlignment w:val="auto"/>
        <w:rPr>
          <w:rFonts w:cs="Tahoma"/>
          <w:sz w:val="24"/>
          <w:szCs w:val="24"/>
        </w:rPr>
      </w:pPr>
    </w:p>
    <w:p w14:paraId="0297B6E4" w14:textId="77777777" w:rsidR="00DC3D3A" w:rsidRPr="00594FEC" w:rsidRDefault="00DC3D3A" w:rsidP="00DC3D3A">
      <w:pPr>
        <w:suppressAutoHyphens w:val="0"/>
        <w:textAlignment w:val="auto"/>
        <w:rPr>
          <w:rFonts w:cs="Tahoma"/>
          <w:sz w:val="24"/>
          <w:szCs w:val="24"/>
        </w:rPr>
      </w:pPr>
    </w:p>
    <w:p w14:paraId="3AB5B8ED" w14:textId="7C19B29E" w:rsidR="00AE7AB8" w:rsidRDefault="00BE7938">
      <w:pPr>
        <w:spacing w:before="225" w:after="75"/>
        <w:jc w:val="left"/>
      </w:pPr>
      <w:r>
        <w:rPr>
          <w:noProof/>
        </w:rPr>
      </w:r>
      <w:r>
        <w:pict w14:anchorId="1799D733">
          <v:rect id="Horizontal Line 1" o:spid="_x0000_s1027" style="width:500.2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" fillcolor="#252525" stroked="f">
            <v:textbox inset="0,0,0,0"/>
            <w10:anchorlock/>
          </v:rect>
        </w:pict>
      </w:r>
    </w:p>
    <w:p w14:paraId="3AB5B8EE" w14:textId="77777777" w:rsidR="00AE7AB8" w:rsidRDefault="0067192E">
      <w:pPr>
        <w:shd w:val="clear" w:color="auto" w:fill="FFFFFF"/>
        <w:spacing w:after="270"/>
        <w:jc w:val="center"/>
      </w:pPr>
      <w:r>
        <w:rPr>
          <w:rFonts w:cs="Tahoma"/>
          <w:b/>
          <w:bCs/>
          <w:color w:val="252525"/>
          <w:sz w:val="18"/>
          <w:szCs w:val="22"/>
        </w:rPr>
        <w:t>Responsable:</w:t>
      </w:r>
      <w:r>
        <w:rPr>
          <w:rFonts w:cs="Tahoma"/>
          <w:color w:val="252525"/>
          <w:sz w:val="18"/>
          <w:szCs w:val="22"/>
        </w:rPr>
        <w:t> Mercados Centrales de Abastecimiento de Tenerife (MERCATENERIFE, S.A.).</w:t>
      </w:r>
    </w:p>
    <w:p w14:paraId="3AB5B8EF" w14:textId="4837ED46" w:rsidR="00AE7AB8" w:rsidRDefault="0067192E">
      <w:pPr>
        <w:shd w:val="clear" w:color="auto" w:fill="FFFFFF"/>
        <w:spacing w:after="270"/>
        <w:jc w:val="center"/>
      </w:pPr>
      <w:r>
        <w:rPr>
          <w:rFonts w:cs="Tahoma"/>
          <w:b/>
          <w:bCs/>
          <w:color w:val="252525"/>
          <w:sz w:val="18"/>
          <w:szCs w:val="22"/>
        </w:rPr>
        <w:t>Formato:</w:t>
      </w:r>
      <w:r>
        <w:rPr>
          <w:rFonts w:cs="Tahoma"/>
          <w:color w:val="252525"/>
          <w:sz w:val="18"/>
          <w:szCs w:val="22"/>
        </w:rPr>
        <w:t xml:space="preserve"> DOCX DOC XLS PDF HTML </w:t>
      </w:r>
      <w:proofErr w:type="gramStart"/>
      <w:r>
        <w:rPr>
          <w:rFonts w:cs="Tahoma"/>
          <w:color w:val="252525"/>
          <w:sz w:val="18"/>
          <w:szCs w:val="22"/>
        </w:rPr>
        <w:t>WEB  </w:t>
      </w:r>
      <w:r>
        <w:rPr>
          <w:rFonts w:cs="Tahoma"/>
          <w:b/>
          <w:bCs/>
          <w:color w:val="252525"/>
          <w:sz w:val="18"/>
          <w:szCs w:val="22"/>
        </w:rPr>
        <w:t>Fecha</w:t>
      </w:r>
      <w:proofErr w:type="gramEnd"/>
      <w:r>
        <w:rPr>
          <w:rFonts w:cs="Tahoma"/>
          <w:b/>
          <w:bCs/>
          <w:color w:val="252525"/>
          <w:sz w:val="18"/>
          <w:szCs w:val="22"/>
        </w:rPr>
        <w:t xml:space="preserve"> de Actualización:</w:t>
      </w:r>
      <w:r>
        <w:rPr>
          <w:rFonts w:cs="Tahoma"/>
          <w:color w:val="252525"/>
          <w:sz w:val="18"/>
          <w:szCs w:val="22"/>
        </w:rPr>
        <w:t> </w:t>
      </w:r>
      <w:r w:rsidR="00594FEC">
        <w:rPr>
          <w:rFonts w:cs="Tahoma"/>
          <w:color w:val="252525"/>
          <w:sz w:val="18"/>
          <w:szCs w:val="22"/>
        </w:rPr>
        <w:t>22</w:t>
      </w:r>
      <w:r>
        <w:rPr>
          <w:rFonts w:cs="Tahoma"/>
          <w:color w:val="252525"/>
          <w:sz w:val="18"/>
          <w:szCs w:val="22"/>
        </w:rPr>
        <w:t xml:space="preserve"> de </w:t>
      </w:r>
      <w:r w:rsidR="006B533A">
        <w:rPr>
          <w:rFonts w:cs="Tahoma"/>
          <w:color w:val="252525"/>
          <w:sz w:val="18"/>
          <w:szCs w:val="22"/>
        </w:rPr>
        <w:t>junio</w:t>
      </w:r>
      <w:r>
        <w:rPr>
          <w:rFonts w:cs="Tahoma"/>
          <w:color w:val="252525"/>
          <w:sz w:val="18"/>
          <w:szCs w:val="22"/>
        </w:rPr>
        <w:t> de 202</w:t>
      </w:r>
      <w:r w:rsidR="006B533A">
        <w:rPr>
          <w:rFonts w:cs="Tahoma"/>
          <w:color w:val="252525"/>
          <w:sz w:val="18"/>
          <w:szCs w:val="22"/>
        </w:rPr>
        <w:t>6</w:t>
      </w:r>
      <w:r>
        <w:rPr>
          <w:rFonts w:cs="Tahoma"/>
          <w:color w:val="252525"/>
          <w:sz w:val="18"/>
          <w:szCs w:val="22"/>
        </w:rPr>
        <w:t xml:space="preserve"> </w:t>
      </w:r>
      <w:r w:rsidR="00BE7938">
        <w:rPr>
          <w:noProof/>
        </w:rPr>
      </w:r>
      <w:r w:rsidR="00BE7938">
        <w:pict w14:anchorId="386A949E">
          <v:rect id="_x0000_s1026" style="width:501.7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" fillcolor="#252525" stroked="f">
            <v:textbox inset="0,0,0,0"/>
            <w10:anchorlock/>
          </v:rect>
        </w:pict>
      </w:r>
    </w:p>
    <w:p w14:paraId="3AB5B8F0" w14:textId="77777777" w:rsidR="00AE7AB8" w:rsidRDefault="00AE7AB8">
      <w:pPr>
        <w:rPr>
          <w:rFonts w:cs="Tahoma"/>
          <w:sz w:val="24"/>
          <w:szCs w:val="24"/>
        </w:rPr>
      </w:pPr>
    </w:p>
    <w:sectPr w:rsidR="00AE7AB8">
      <w:headerReference w:type="default" r:id="rId8"/>
      <w:footerReference w:type="default" r:id="rId9"/>
      <w:pgSz w:w="11909" w:h="16834"/>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6F7A" w14:textId="77777777" w:rsidR="0067192E" w:rsidRDefault="0067192E">
      <w:r>
        <w:separator/>
      </w:r>
    </w:p>
  </w:endnote>
  <w:endnote w:type="continuationSeparator" w:id="0">
    <w:p w14:paraId="0A0E9CEE" w14:textId="77777777" w:rsidR="0067192E" w:rsidRDefault="0067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8E2" w14:textId="77777777" w:rsidR="0067192E" w:rsidRDefault="0067192E">
    <w:pPr>
      <w:pStyle w:val="PieLegal"/>
    </w:pPr>
    <w:r>
      <w:t>MERCATENERIFE, S.A. El Mayorazgo Sector 2 38110 Santa Cruz de Tenerife Tel.: 922 22 27 40 Fax: 922 22 27 41</w:t>
    </w:r>
  </w:p>
  <w:p w14:paraId="3AB5B8E3" w14:textId="77777777" w:rsidR="0067192E" w:rsidRDefault="0067192E">
    <w:pPr>
      <w:pStyle w:val="PieLegal"/>
    </w:pPr>
    <w:r>
      <w:t>CIF: A-</w:t>
    </w:r>
    <w:proofErr w:type="gramStart"/>
    <w:r>
      <w:t>38013272  R.M.</w:t>
    </w:r>
    <w:proofErr w:type="gramEnd"/>
    <w:r>
      <w:t xml:space="preserve"> De Santa Cruz de Tenerife, libro 42, secc.3ª, </w:t>
    </w:r>
    <w:proofErr w:type="gramStart"/>
    <w:r>
      <w:t>T.105.F.135;H</w:t>
    </w:r>
    <w:proofErr w:type="gramEnd"/>
    <w:r>
      <w:t>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4598" w14:textId="77777777" w:rsidR="0067192E" w:rsidRDefault="0067192E">
      <w:r>
        <w:rPr>
          <w:color w:val="000000"/>
        </w:rPr>
        <w:separator/>
      </w:r>
    </w:p>
  </w:footnote>
  <w:footnote w:type="continuationSeparator" w:id="0">
    <w:p w14:paraId="38D08E85" w14:textId="77777777" w:rsidR="0067192E" w:rsidRDefault="0067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284" w:type="dxa"/>
      <w:tblCellMar>
        <w:left w:w="10" w:type="dxa"/>
        <w:right w:w="10" w:type="dxa"/>
      </w:tblCellMar>
      <w:tblLook w:val="0000" w:firstRow="0" w:lastRow="0" w:firstColumn="0" w:lastColumn="0" w:noHBand="0" w:noVBand="0"/>
    </w:tblPr>
    <w:tblGrid>
      <w:gridCol w:w="5368"/>
      <w:gridCol w:w="3938"/>
      <w:gridCol w:w="900"/>
    </w:tblGrid>
    <w:tr w:rsidR="00A07B21" w14:paraId="3AB5B8DF" w14:textId="77777777">
      <w:tblPrEx>
        <w:tblCellMar>
          <w:top w:w="0" w:type="dxa"/>
          <w:bottom w:w="0" w:type="dxa"/>
        </w:tblCellMar>
      </w:tblPrEx>
      <w:tc>
        <w:tcPr>
          <w:tcW w:w="5368" w:type="dxa"/>
          <w:tcBorders>
            <w:bottom w:val="single" w:sz="12" w:space="0" w:color="000080"/>
          </w:tcBorders>
          <w:tcMar>
            <w:top w:w="0" w:type="dxa"/>
            <w:left w:w="0" w:type="dxa"/>
            <w:bottom w:w="0" w:type="dxa"/>
            <w:right w:w="0" w:type="dxa"/>
          </w:tcMar>
        </w:tcPr>
        <w:p w14:paraId="3AB5B8DC" w14:textId="446BE7F7" w:rsidR="0067192E" w:rsidRDefault="00BE7938">
          <w:r w:rsidRPr="00885AA8">
            <w:rPr>
              <w:noProof/>
            </w:rPr>
            <w:pict w14:anchorId="1EF5F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LogoAzulHorizontal" style="width:226.5pt;height:60pt;visibility:visible;mso-wrap-style:square">
                <v:imagedata r:id="rId1" o:title="LogoAzulHorizontal"/>
              </v:shape>
            </w:pict>
          </w:r>
        </w:p>
      </w:tc>
      <w:tc>
        <w:tcPr>
          <w:tcW w:w="3938" w:type="dxa"/>
          <w:tcBorders>
            <w:bottom w:val="single" w:sz="12" w:space="0" w:color="000080"/>
          </w:tcBorders>
          <w:tcMar>
            <w:top w:w="0" w:type="dxa"/>
            <w:left w:w="0" w:type="dxa"/>
            <w:bottom w:w="0" w:type="dxa"/>
            <w:right w:w="0" w:type="dxa"/>
          </w:tcMar>
        </w:tcPr>
        <w:p w14:paraId="3AB5B8DD" w14:textId="77777777" w:rsidR="0067192E" w:rsidRDefault="0067192E"/>
      </w:tc>
      <w:tc>
        <w:tcPr>
          <w:tcW w:w="900" w:type="dxa"/>
          <w:tcBorders>
            <w:bottom w:val="single" w:sz="12" w:space="0" w:color="000080"/>
          </w:tcBorders>
          <w:tcMar>
            <w:top w:w="0" w:type="dxa"/>
            <w:left w:w="0" w:type="dxa"/>
            <w:bottom w:w="0" w:type="dxa"/>
            <w:right w:w="0" w:type="dxa"/>
          </w:tcMar>
        </w:tcPr>
        <w:p w14:paraId="3AB5B8DE" w14:textId="43EF2831" w:rsidR="0067192E" w:rsidRDefault="00BE7938">
          <w:pPr>
            <w:jc w:val="right"/>
          </w:pPr>
          <w:r w:rsidRPr="00885AA8">
            <w:rPr>
              <w:noProof/>
            </w:rPr>
            <w:pict w14:anchorId="7BE14F3C">
              <v:shape id="Imagen 1" o:spid="_x0000_i1033" type="#_x0000_t75" alt="LogoConjuntoPequeño" style="width:40.5pt;height:39pt;visibility:visible;mso-wrap-style:square">
                <v:imagedata r:id="rId2" o:title="LogoConjuntoPequeño"/>
              </v:shape>
            </w:pict>
          </w:r>
        </w:p>
      </w:tc>
    </w:tr>
  </w:tbl>
  <w:p w14:paraId="3AB5B8E0" w14:textId="77777777" w:rsidR="0067192E" w:rsidRDefault="006719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41C"/>
    <w:multiLevelType w:val="hybridMultilevel"/>
    <w:tmpl w:val="2F32E4B4"/>
    <w:lvl w:ilvl="0" w:tplc="FFFFFFFF">
      <w:start w:val="1"/>
      <w:numFmt w:val="decimal"/>
      <w:lvlText w:val="%1."/>
      <w:lvlJc w:val="left"/>
      <w:pPr>
        <w:ind w:left="720" w:hanging="360"/>
      </w:pPr>
      <w:rPr>
        <w:rFonts w:ascii="Tahoma" w:hAnsi="Tahoma" w:cs="Tahoma" w:hint="default"/>
        <w:b/>
        <w:color w:val="2525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F38C0"/>
    <w:multiLevelType w:val="hybridMultilevel"/>
    <w:tmpl w:val="D63EA564"/>
    <w:lvl w:ilvl="0" w:tplc="FFFFFFFF">
      <w:start w:val="1"/>
      <w:numFmt w:val="decimal"/>
      <w:lvlText w:val="%1."/>
      <w:lvlJc w:val="left"/>
      <w:pPr>
        <w:ind w:left="720" w:hanging="360"/>
      </w:pPr>
      <w:rPr>
        <w:rFonts w:ascii="Tahoma" w:hAnsi="Tahoma" w:cs="Tahoma" w:hint="default"/>
        <w:b/>
        <w:color w:val="2525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310BEC"/>
    <w:multiLevelType w:val="hybridMultilevel"/>
    <w:tmpl w:val="059EEB18"/>
    <w:lvl w:ilvl="0" w:tplc="8DC8B08C">
      <w:start w:val="1"/>
      <w:numFmt w:val="bullet"/>
      <w:lvlText w:val="•"/>
      <w:lvlJc w:val="left"/>
      <w:pPr>
        <w:ind w:left="560" w:hanging="280"/>
      </w:pPr>
    </w:lvl>
    <w:lvl w:ilvl="1" w:tplc="70C0E30C">
      <w:numFmt w:val="decimal"/>
      <w:lvlText w:val=""/>
      <w:lvlJc w:val="left"/>
    </w:lvl>
    <w:lvl w:ilvl="2" w:tplc="E550ECB0">
      <w:numFmt w:val="decimal"/>
      <w:lvlText w:val=""/>
      <w:lvlJc w:val="left"/>
    </w:lvl>
    <w:lvl w:ilvl="3" w:tplc="C90A3AB2">
      <w:numFmt w:val="decimal"/>
      <w:lvlText w:val=""/>
      <w:lvlJc w:val="left"/>
    </w:lvl>
    <w:lvl w:ilvl="4" w:tplc="1174E32C">
      <w:numFmt w:val="decimal"/>
      <w:lvlText w:val=""/>
      <w:lvlJc w:val="left"/>
    </w:lvl>
    <w:lvl w:ilvl="5" w:tplc="A1E2034C">
      <w:numFmt w:val="decimal"/>
      <w:lvlText w:val=""/>
      <w:lvlJc w:val="left"/>
    </w:lvl>
    <w:lvl w:ilvl="6" w:tplc="DAD0F206">
      <w:numFmt w:val="decimal"/>
      <w:lvlText w:val=""/>
      <w:lvlJc w:val="left"/>
    </w:lvl>
    <w:lvl w:ilvl="7" w:tplc="8AB82CBA">
      <w:numFmt w:val="decimal"/>
      <w:lvlText w:val=""/>
      <w:lvlJc w:val="left"/>
    </w:lvl>
    <w:lvl w:ilvl="8" w:tplc="630C1846">
      <w:numFmt w:val="decimal"/>
      <w:lvlText w:val=""/>
      <w:lvlJc w:val="left"/>
    </w:lvl>
  </w:abstractNum>
  <w:abstractNum w:abstractNumId="3" w15:restartNumberingAfterBreak="0">
    <w:nsid w:val="1F860BCD"/>
    <w:multiLevelType w:val="hybridMultilevel"/>
    <w:tmpl w:val="B57E2036"/>
    <w:lvl w:ilvl="0" w:tplc="8DC8B08C">
      <w:start w:val="1"/>
      <w:numFmt w:val="bullet"/>
      <w:lvlText w:val="•"/>
      <w:lvlJc w:val="left"/>
      <w:pPr>
        <w:ind w:left="1280" w:hanging="280"/>
      </w:p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415734A"/>
    <w:multiLevelType w:val="hybridMultilevel"/>
    <w:tmpl w:val="D63EA564"/>
    <w:lvl w:ilvl="0" w:tplc="FFFFFFFF">
      <w:start w:val="1"/>
      <w:numFmt w:val="decimal"/>
      <w:lvlText w:val="%1."/>
      <w:lvlJc w:val="left"/>
      <w:pPr>
        <w:ind w:left="720" w:hanging="360"/>
      </w:pPr>
      <w:rPr>
        <w:rFonts w:ascii="Tahoma" w:hAnsi="Tahoma" w:cs="Tahoma" w:hint="default"/>
        <w:b/>
        <w:color w:val="2525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8E43AD"/>
    <w:multiLevelType w:val="hybridMultilevel"/>
    <w:tmpl w:val="EDDCDABE"/>
    <w:lvl w:ilvl="0" w:tplc="8DC8B08C">
      <w:start w:val="1"/>
      <w:numFmt w:val="bullet"/>
      <w:lvlText w:val="•"/>
      <w:lvlJc w:val="left"/>
      <w:pPr>
        <w:ind w:left="1280" w:hanging="280"/>
      </w:p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6477F97"/>
    <w:multiLevelType w:val="hybridMultilevel"/>
    <w:tmpl w:val="2F32E4B4"/>
    <w:lvl w:ilvl="0" w:tplc="AC4C6286">
      <w:start w:val="1"/>
      <w:numFmt w:val="decimal"/>
      <w:lvlText w:val="%1."/>
      <w:lvlJc w:val="left"/>
      <w:pPr>
        <w:ind w:left="720" w:hanging="360"/>
      </w:pPr>
      <w:rPr>
        <w:rFonts w:ascii="Tahoma" w:hAnsi="Tahoma" w:cs="Tahoma" w:hint="default"/>
        <w:b/>
        <w:color w:val="25252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B0190"/>
    <w:multiLevelType w:val="hybridMultilevel"/>
    <w:tmpl w:val="6FD0F8A8"/>
    <w:lvl w:ilvl="0" w:tplc="AC4C6286">
      <w:start w:val="1"/>
      <w:numFmt w:val="decimal"/>
      <w:lvlText w:val="%1."/>
      <w:lvlJc w:val="left"/>
      <w:pPr>
        <w:ind w:left="720" w:hanging="360"/>
      </w:pPr>
      <w:rPr>
        <w:rFonts w:ascii="Tahoma" w:hAnsi="Tahoma" w:cs="Tahoma" w:hint="default"/>
        <w:b/>
        <w:color w:val="2525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94674B"/>
    <w:multiLevelType w:val="hybridMultilevel"/>
    <w:tmpl w:val="D4DA3E5A"/>
    <w:lvl w:ilvl="0" w:tplc="A3CA2900">
      <w:start w:val="79"/>
      <w:numFmt w:val="bullet"/>
      <w:lvlText w:val=""/>
      <w:lvlJc w:val="left"/>
      <w:pPr>
        <w:ind w:left="1800" w:hanging="360"/>
      </w:pPr>
      <w:rPr>
        <w:rFonts w:ascii="Symbol" w:eastAsia="Times New Roman" w:hAnsi="Symbol" w:cs="Tahoma"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7434A92"/>
    <w:multiLevelType w:val="hybridMultilevel"/>
    <w:tmpl w:val="3EE686C8"/>
    <w:lvl w:ilvl="0" w:tplc="A3CA2900">
      <w:start w:val="79"/>
      <w:numFmt w:val="bullet"/>
      <w:lvlText w:val=""/>
      <w:lvlJc w:val="left"/>
      <w:pPr>
        <w:ind w:left="1080" w:hanging="360"/>
      </w:pPr>
      <w:rPr>
        <w:rFonts w:ascii="Symbol" w:eastAsia="Times New Roman" w:hAnsi="Symbol"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6D930D4"/>
    <w:multiLevelType w:val="hybridMultilevel"/>
    <w:tmpl w:val="D63EA564"/>
    <w:lvl w:ilvl="0" w:tplc="AC4C6286">
      <w:start w:val="1"/>
      <w:numFmt w:val="decimal"/>
      <w:lvlText w:val="%1."/>
      <w:lvlJc w:val="left"/>
      <w:pPr>
        <w:ind w:left="720" w:hanging="360"/>
      </w:pPr>
      <w:rPr>
        <w:rFonts w:ascii="Tahoma" w:hAnsi="Tahoma" w:cs="Tahoma" w:hint="default"/>
        <w:b/>
        <w:color w:val="25252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60600562">
    <w:abstractNumId w:val="6"/>
  </w:num>
  <w:num w:numId="2" w16cid:durableId="970328594">
    <w:abstractNumId w:val="2"/>
    <w:lvlOverride w:ilvl="0">
      <w:startOverride w:val="1"/>
    </w:lvlOverride>
  </w:num>
  <w:num w:numId="3" w16cid:durableId="1521121674">
    <w:abstractNumId w:val="0"/>
  </w:num>
  <w:num w:numId="4" w16cid:durableId="593981562">
    <w:abstractNumId w:val="7"/>
  </w:num>
  <w:num w:numId="5" w16cid:durableId="1932465382">
    <w:abstractNumId w:val="10"/>
  </w:num>
  <w:num w:numId="6" w16cid:durableId="1442871193">
    <w:abstractNumId w:val="1"/>
  </w:num>
  <w:num w:numId="7" w16cid:durableId="896665880">
    <w:abstractNumId w:val="4"/>
  </w:num>
  <w:num w:numId="8" w16cid:durableId="270476518">
    <w:abstractNumId w:val="9"/>
  </w:num>
  <w:num w:numId="9" w16cid:durableId="1297569425">
    <w:abstractNumId w:val="8"/>
  </w:num>
  <w:num w:numId="10" w16cid:durableId="1292519857">
    <w:abstractNumId w:val="2"/>
  </w:num>
  <w:num w:numId="11" w16cid:durableId="121773528">
    <w:abstractNumId w:val="5"/>
  </w:num>
  <w:num w:numId="12" w16cid:durableId="737098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AB8"/>
    <w:rsid w:val="00252236"/>
    <w:rsid w:val="003934DC"/>
    <w:rsid w:val="00567DED"/>
    <w:rsid w:val="00594FEC"/>
    <w:rsid w:val="0067192E"/>
    <w:rsid w:val="006B533A"/>
    <w:rsid w:val="0081544F"/>
    <w:rsid w:val="00AE7AB8"/>
    <w:rsid w:val="00BE7938"/>
    <w:rsid w:val="00D50401"/>
    <w:rsid w:val="00D56F0C"/>
    <w:rsid w:val="00DC3D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B5B8D0"/>
  <w15:docId w15:val="{40EF5219-D7FC-4ADC-8C18-3BD433FE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jc w:val="both"/>
      <w:textAlignment w:val="baseline"/>
    </w:pPr>
    <w:rPr>
      <w:rFonts w:ascii="Tahoma" w:hAnsi="Tahoma"/>
    </w:rPr>
  </w:style>
  <w:style w:type="paragraph" w:styleId="Ttulo1">
    <w:name w:val="heading 1"/>
    <w:basedOn w:val="Normal"/>
    <w:next w:val="Normal"/>
    <w:uiPriority w:val="9"/>
    <w:qFormat/>
    <w:pPr>
      <w:keepNext/>
      <w:widowControl w:val="0"/>
      <w:tabs>
        <w:tab w:val="left" w:pos="120"/>
      </w:tabs>
      <w:spacing w:before="94"/>
      <w:outlineLvl w:val="0"/>
    </w:pPr>
    <w:rPr>
      <w:b/>
      <w:color w:val="000000"/>
      <w:sz w:val="28"/>
    </w:rPr>
  </w:style>
  <w:style w:type="paragraph" w:styleId="Ttulo2">
    <w:name w:val="heading 2"/>
    <w:basedOn w:val="Normal"/>
    <w:next w:val="Normal"/>
    <w:uiPriority w:val="9"/>
    <w:semiHidden/>
    <w:unhideWhenUsed/>
    <w:qFormat/>
    <w:pPr>
      <w:keepNext/>
      <w:widowControl w:val="0"/>
      <w:tabs>
        <w:tab w:val="left" w:pos="1133"/>
      </w:tabs>
      <w:spacing w:before="705"/>
      <w:outlineLvl w:val="1"/>
    </w:pPr>
    <w:rPr>
      <w:b/>
      <w:sz w:val="24"/>
    </w:rPr>
  </w:style>
  <w:style w:type="paragraph" w:styleId="Ttulo3">
    <w:name w:val="heading 3"/>
    <w:basedOn w:val="Normal"/>
    <w:next w:val="Normal"/>
    <w:uiPriority w:val="9"/>
    <w:semiHidden/>
    <w:unhideWhenUsed/>
    <w:qFormat/>
    <w:pPr>
      <w:keepNext/>
      <w:spacing w:before="240" w:after="60"/>
      <w:outlineLvl w:val="2"/>
    </w:pPr>
    <w:rPr>
      <w:rFonts w:cs="Arial"/>
      <w:b/>
      <w:bCs/>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pPr>
      <w:jc w:val="center"/>
    </w:pPr>
    <w:rPr>
      <w:rFonts w:cs="Tahoma"/>
      <w:color w:val="000080"/>
      <w:sz w:val="16"/>
      <w:szCs w:val="16"/>
    </w:rPr>
  </w:style>
  <w:style w:type="paragraph" w:styleId="Encabezado">
    <w:name w:val="header"/>
    <w:basedOn w:val="Normal"/>
    <w:next w:val="Normal"/>
    <w:pPr>
      <w:tabs>
        <w:tab w:val="center" w:pos="4252"/>
        <w:tab w:val="right" w:pos="8504"/>
      </w:tabs>
      <w:ind w:left="-284"/>
    </w:pPr>
    <w:rPr>
      <w:rFonts w:ascii="Arial Black" w:hAnsi="Arial Black"/>
      <w:spacing w:val="-80"/>
      <w:kern w:val="3"/>
      <w:sz w:val="96"/>
      <w:szCs w:val="96"/>
    </w:rPr>
  </w:style>
  <w:style w:type="paragraph" w:customStyle="1" w:styleId="Rtulo">
    <w:name w:val="Rótulo"/>
    <w:next w:val="Normal"/>
    <w:pPr>
      <w:suppressAutoHyphens/>
      <w:autoSpaceDN w:val="0"/>
      <w:textAlignment w:val="baseline"/>
    </w:pPr>
    <w:rPr>
      <w:rFonts w:ascii="Arial Black" w:hAnsi="Arial Black" w:cs="Arial"/>
      <w:spacing w:val="-5"/>
      <w:sz w:val="18"/>
    </w:rPr>
  </w:style>
  <w:style w:type="character" w:customStyle="1" w:styleId="RtuloCar">
    <w:name w:val="Rótulo Car"/>
    <w:rPr>
      <w:rFonts w:ascii="Arial Black" w:hAnsi="Arial Black" w:cs="Arial"/>
      <w:spacing w:val="-5"/>
      <w:sz w:val="18"/>
      <w:lang w:val="es-ES" w:eastAsia="es-ES" w:bidi="ar-SA"/>
    </w:rPr>
  </w:style>
  <w:style w:type="paragraph" w:styleId="Piedepgina">
    <w:name w:val="footer"/>
    <w:basedOn w:val="Normal"/>
    <w:pPr>
      <w:tabs>
        <w:tab w:val="center" w:pos="4252"/>
        <w:tab w:val="right" w:pos="8504"/>
      </w:tabs>
    </w:pPr>
  </w:style>
  <w:style w:type="paragraph" w:customStyle="1" w:styleId="PieLegal">
    <w:name w:val="Pie Legal"/>
    <w:basedOn w:val="Pie"/>
    <w:pPr>
      <w:ind w:left="-284" w:right="-284"/>
    </w:pPr>
  </w:style>
  <w:style w:type="paragraph" w:customStyle="1" w:styleId="body1">
    <w:name w:val="body1"/>
    <w:basedOn w:val="Normal"/>
    <w:pPr>
      <w:jc w:val="left"/>
    </w:pPr>
    <w:rPr>
      <w:rFonts w:ascii="Times New Roman" w:hAnsi="Times New Roman"/>
      <w:color w:val="000000"/>
    </w:rPr>
  </w:style>
  <w:style w:type="paragraph" w:styleId="NormalWeb">
    <w:name w:val="Normal (Web)"/>
    <w:basedOn w:val="Normal"/>
    <w:pPr>
      <w:jc w:val="left"/>
    </w:pPr>
    <w:rPr>
      <w:rFonts w:ascii="Times New Roman" w:hAnsi="Times New Roman"/>
      <w:sz w:val="24"/>
      <w:szCs w:val="24"/>
    </w:rPr>
  </w:style>
  <w:style w:type="character" w:styleId="Textoennegrita">
    <w:name w:val="Strong"/>
    <w:rPr>
      <w:b/>
      <w:bCs/>
    </w:rPr>
  </w:style>
  <w:style w:type="paragraph" w:styleId="Prrafodelista">
    <w:name w:val="List Paragraph"/>
    <w:basedOn w:val="Normal"/>
    <w:qFormat/>
    <w:pPr>
      <w:ind w:left="720"/>
    </w:pPr>
  </w:style>
  <w:style w:type="paragraph" w:styleId="Subttulo">
    <w:name w:val="Subtitle"/>
    <w:basedOn w:val="Normal"/>
    <w:next w:val="Normal"/>
    <w:link w:val="SubttuloCar"/>
    <w:uiPriority w:val="11"/>
    <w:qFormat/>
    <w:rsid w:val="00DC3D3A"/>
    <w:pPr>
      <w:numPr>
        <w:ilvl w:val="1"/>
      </w:numPr>
      <w:spacing w:after="160"/>
    </w:pPr>
    <w:rPr>
      <w:rFonts w:ascii="Aptos" w:hAnsi="Aptos"/>
      <w:color w:val="5A5A5A"/>
      <w:spacing w:val="15"/>
      <w:sz w:val="22"/>
      <w:szCs w:val="22"/>
    </w:rPr>
  </w:style>
  <w:style w:type="character" w:customStyle="1" w:styleId="SubttuloCar">
    <w:name w:val="Subtítulo Car"/>
    <w:link w:val="Subttulo"/>
    <w:uiPriority w:val="11"/>
    <w:rsid w:val="00DC3D3A"/>
    <w:rPr>
      <w:rFonts w:ascii="Aptos" w:eastAsia="Times New Roman" w:hAnsi="Aptos" w:cs="Times New Roman"/>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2210</Words>
  <Characters>12159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Información entidad</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entidad</dc:title>
  <dc:subject/>
  <dc:creator>Secretaria</dc:creator>
  <cp:keywords>Información entidad</cp:keywords>
  <cp:lastModifiedBy>Secretaria - Mercatenerife</cp:lastModifiedBy>
  <cp:revision>2</cp:revision>
  <cp:lastPrinted>2026-06-22T08:55:00Z</cp:lastPrinted>
  <dcterms:created xsi:type="dcterms:W3CDTF">2026-06-22T09:12:00Z</dcterms:created>
  <dcterms:modified xsi:type="dcterms:W3CDTF">2026-06-22T09:12:00Z</dcterms:modified>
</cp:coreProperties>
</file>