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15"/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4"/>
        <w:gridCol w:w="1320"/>
      </w:tblGrid>
      <w:tr w:rsidR="0085349B" w:rsidRPr="0085349B" w14:paraId="13F1230C" w14:textId="77777777" w:rsidTr="0085349B">
        <w:trPr>
          <w:trHeight w:val="1152"/>
        </w:trPr>
        <w:tc>
          <w:tcPr>
            <w:tcW w:w="4231" w:type="pct"/>
            <w:shd w:val="clear" w:color="auto" w:fill="99CCFF"/>
            <w:vAlign w:val="center"/>
          </w:tcPr>
          <w:p w14:paraId="5DF9C587" w14:textId="77777777" w:rsidR="0085349B" w:rsidRPr="0085349B" w:rsidRDefault="0085349B" w:rsidP="0085349B">
            <w:pPr>
              <w:spacing w:before="240" w:after="0" w:line="240" w:lineRule="auto"/>
              <w:jc w:val="center"/>
              <w:rPr>
                <w:rFonts w:ascii="Arial" w:eastAsia="Cambria" w:hAnsi="Arial" w:cs="Arial"/>
                <w:b/>
                <w:bCs/>
                <w:kern w:val="0"/>
                <w:lang w:val="es-ES_tradnl"/>
                <w14:ligatures w14:val="none"/>
              </w:rPr>
            </w:pPr>
            <w:r w:rsidRPr="0085349B">
              <w:rPr>
                <w:rFonts w:ascii="Arial" w:eastAsia="Cambria" w:hAnsi="Arial" w:cs="Arial"/>
                <w:b/>
                <w:bCs/>
                <w:kern w:val="0"/>
                <w:lang w:val="es-ES_tradnl"/>
                <w14:ligatures w14:val="none"/>
              </w:rPr>
              <w:t>PRESUPUESTO GENERAL DEL CABILDO INSULAR DE TENERIFE</w:t>
            </w:r>
            <w:r w:rsidRPr="0085349B">
              <w:rPr>
                <w:rFonts w:ascii="Arial" w:eastAsia="Cambria" w:hAnsi="Arial" w:cs="Arial"/>
                <w:b/>
                <w:bCs/>
                <w:kern w:val="0"/>
                <w:lang w:val="es-ES_tradnl"/>
                <w14:ligatures w14:val="none"/>
              </w:rPr>
              <w:br/>
              <w:t>PROGRAMA DE ACTUACIÓN, INVERSIONES Y FINANCIACIÓN</w:t>
            </w:r>
          </w:p>
          <w:p w14:paraId="521BC726" w14:textId="77777777" w:rsidR="0085349B" w:rsidRPr="0085349B" w:rsidRDefault="0085349B" w:rsidP="0085349B">
            <w:pPr>
              <w:spacing w:after="0" w:line="240" w:lineRule="auto"/>
              <w:jc w:val="center"/>
              <w:rPr>
                <w:rFonts w:ascii="Arial" w:eastAsia="Cambria" w:hAnsi="Arial" w:cs="Times New Roman"/>
                <w:kern w:val="0"/>
                <w:lang w:val="es-ES_tradnl"/>
                <w14:ligatures w14:val="none"/>
              </w:rPr>
            </w:pPr>
          </w:p>
        </w:tc>
        <w:tc>
          <w:tcPr>
            <w:tcW w:w="769" w:type="pct"/>
            <w:vMerge w:val="restart"/>
            <w:shd w:val="clear" w:color="auto" w:fill="99CCFF"/>
            <w:vAlign w:val="center"/>
          </w:tcPr>
          <w:p w14:paraId="0EB3E75B" w14:textId="21ED8A57" w:rsidR="0085349B" w:rsidRPr="0085349B" w:rsidRDefault="0085349B" w:rsidP="0085349B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  <w:bCs/>
                <w:color w:val="000000"/>
                <w:kern w:val="0"/>
                <w:lang w:val="es-ES_tradnl"/>
                <w14:ligatures w14:val="none"/>
              </w:rPr>
            </w:pPr>
            <w:r w:rsidRPr="0085349B">
              <w:rPr>
                <w:rFonts w:ascii="Arial" w:eastAsia="Cambria" w:hAnsi="Arial" w:cs="Arial"/>
                <w:b/>
                <w:bCs/>
                <w:color w:val="000000"/>
                <w:kern w:val="0"/>
                <w:lang w:val="es-ES_tradnl"/>
                <w14:ligatures w14:val="none"/>
              </w:rPr>
              <w:t>202</w:t>
            </w:r>
            <w:r w:rsidR="0079731A">
              <w:rPr>
                <w:rFonts w:ascii="Arial" w:eastAsia="Cambria" w:hAnsi="Arial" w:cs="Arial"/>
                <w:b/>
                <w:bCs/>
                <w:color w:val="000000"/>
                <w:kern w:val="0"/>
                <w:lang w:val="es-ES_tradnl"/>
                <w14:ligatures w14:val="none"/>
              </w:rPr>
              <w:t>5</w:t>
            </w:r>
          </w:p>
          <w:p w14:paraId="26BF4CC7" w14:textId="77777777" w:rsidR="0085349B" w:rsidRPr="0085349B" w:rsidRDefault="0085349B" w:rsidP="0085349B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  <w:bCs/>
                <w:color w:val="000000"/>
                <w:kern w:val="0"/>
                <w:lang w:val="es-ES_tradnl"/>
                <w14:ligatures w14:val="none"/>
              </w:rPr>
            </w:pPr>
          </w:p>
        </w:tc>
      </w:tr>
      <w:tr w:rsidR="0085349B" w:rsidRPr="0085349B" w14:paraId="65B51FE5" w14:textId="77777777" w:rsidTr="0085349B">
        <w:trPr>
          <w:trHeight w:val="391"/>
        </w:trPr>
        <w:tc>
          <w:tcPr>
            <w:tcW w:w="4231" w:type="pct"/>
            <w:shd w:val="clear" w:color="auto" w:fill="99CCFF"/>
            <w:vAlign w:val="center"/>
          </w:tcPr>
          <w:p w14:paraId="24DA320B" w14:textId="77777777" w:rsidR="0085349B" w:rsidRPr="0085349B" w:rsidRDefault="0085349B" w:rsidP="0085349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kern w:val="0"/>
                <w:lang w:val="es-ES_tradnl"/>
                <w14:ligatures w14:val="none"/>
              </w:rPr>
            </w:pPr>
            <w:r w:rsidRPr="0085349B">
              <w:rPr>
                <w:rFonts w:ascii="Arial" w:eastAsia="Cambria" w:hAnsi="Arial" w:cs="Arial"/>
                <w:b/>
                <w:kern w:val="0"/>
                <w:lang w:val="es-ES_tradnl"/>
                <w14:ligatures w14:val="none"/>
              </w:rPr>
              <w:t xml:space="preserve">ENTIDAD: </w:t>
            </w:r>
            <w:r w:rsidRPr="0085349B">
              <w:rPr>
                <w:rFonts w:ascii="Arial" w:eastAsia="Cambria" w:hAnsi="Arial" w:cs="Arial"/>
                <w:b/>
                <w:kern w:val="0"/>
                <w:sz w:val="14"/>
                <w:szCs w:val="14"/>
                <w:lang w:val="es-ES_tradnl"/>
                <w14:ligatures w14:val="none"/>
              </w:rPr>
              <w:t>MERCADOS CENTRALES DE ABASTECIMIENTO DE TENERIFE, S.A. (MERCATENERIFE)</w:t>
            </w:r>
          </w:p>
        </w:tc>
        <w:tc>
          <w:tcPr>
            <w:tcW w:w="769" w:type="pct"/>
            <w:vMerge/>
            <w:shd w:val="clear" w:color="auto" w:fill="99CCFF"/>
            <w:vAlign w:val="center"/>
          </w:tcPr>
          <w:p w14:paraId="61BE89B0" w14:textId="77777777" w:rsidR="0085349B" w:rsidRPr="0085349B" w:rsidRDefault="0085349B" w:rsidP="0085349B">
            <w:pPr>
              <w:spacing w:after="0" w:line="240" w:lineRule="auto"/>
              <w:ind w:firstLine="33"/>
              <w:jc w:val="center"/>
              <w:rPr>
                <w:rFonts w:ascii="Arial" w:eastAsia="Cambria" w:hAnsi="Arial" w:cs="Arial"/>
                <w:b/>
                <w:bCs/>
                <w:color w:val="000000"/>
                <w:kern w:val="0"/>
                <w:lang w:val="es-ES_tradnl"/>
                <w14:ligatures w14:val="none"/>
              </w:rPr>
            </w:pPr>
          </w:p>
        </w:tc>
      </w:tr>
      <w:tr w:rsidR="0085349B" w:rsidRPr="0085349B" w14:paraId="3D89272F" w14:textId="77777777" w:rsidTr="0085349B">
        <w:trPr>
          <w:trHeight w:val="642"/>
        </w:trPr>
        <w:tc>
          <w:tcPr>
            <w:tcW w:w="5000" w:type="pct"/>
            <w:gridSpan w:val="2"/>
            <w:vAlign w:val="center"/>
          </w:tcPr>
          <w:p w14:paraId="301555CB" w14:textId="77777777" w:rsidR="0085349B" w:rsidRPr="0085349B" w:rsidRDefault="0085349B" w:rsidP="0085349B">
            <w:pPr>
              <w:spacing w:after="0" w:line="240" w:lineRule="auto"/>
              <w:jc w:val="center"/>
              <w:rPr>
                <w:rFonts w:ascii="Arial" w:eastAsia="Cambria" w:hAnsi="Arial" w:cs="Arial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85349B">
              <w:rPr>
                <w:rFonts w:ascii="Arial" w:eastAsia="Cambria" w:hAnsi="Arial" w:cs="Arial"/>
                <w:b/>
                <w:kern w:val="0"/>
                <w:sz w:val="20"/>
                <w:szCs w:val="20"/>
                <w:lang w:val="es-ES_tradnl"/>
                <w14:ligatures w14:val="none"/>
              </w:rPr>
              <w:t>MEMORIA</w:t>
            </w:r>
          </w:p>
        </w:tc>
      </w:tr>
      <w:tr w:rsidR="0085349B" w:rsidRPr="0085349B" w14:paraId="0102B92D" w14:textId="77777777" w:rsidTr="0085349B">
        <w:trPr>
          <w:trHeight w:val="3651"/>
        </w:trPr>
        <w:tc>
          <w:tcPr>
            <w:tcW w:w="5000" w:type="pct"/>
            <w:gridSpan w:val="2"/>
          </w:tcPr>
          <w:p w14:paraId="121DE5C7" w14:textId="3F64C895" w:rsidR="0085349B" w:rsidRDefault="0085349B" w:rsidP="00E814CA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85349B">
              <w:rPr>
                <w:rFonts w:ascii="Arial" w:eastAsia="Cambria" w:hAnsi="Arial" w:cs="Arial"/>
                <w:bCs/>
                <w:kern w:val="0"/>
                <w:sz w:val="20"/>
                <w:szCs w:val="20"/>
                <w:lang w:val="es-ES_tradnl"/>
                <w14:ligatures w14:val="none"/>
              </w:rPr>
              <w:t>Esta Memoria explica y complementa las previsiones que contienen los diferentes estados financieros que se recogen en el PAIF 202</w:t>
            </w:r>
            <w:r w:rsidR="0079731A">
              <w:rPr>
                <w:rFonts w:ascii="Arial" w:eastAsia="Cambria" w:hAnsi="Arial" w:cs="Arial"/>
                <w:bCs/>
                <w:kern w:val="0"/>
                <w:sz w:val="20"/>
                <w:szCs w:val="20"/>
                <w:lang w:val="es-ES_tradnl"/>
                <w14:ligatures w14:val="none"/>
              </w:rPr>
              <w:t>5</w:t>
            </w:r>
            <w:r w:rsidRPr="0085349B">
              <w:rPr>
                <w:rFonts w:ascii="Arial" w:eastAsia="Cambria" w:hAnsi="Arial" w:cs="Arial"/>
                <w:bCs/>
                <w:kern w:val="0"/>
                <w:sz w:val="20"/>
                <w:szCs w:val="20"/>
                <w:lang w:val="es-ES_tradnl"/>
                <w14:ligatures w14:val="none"/>
              </w:rPr>
              <w:t xml:space="preserve"> aprobado para esta Entidad.</w:t>
            </w:r>
          </w:p>
          <w:p w14:paraId="2004AE27" w14:textId="77777777" w:rsidR="00E814CA" w:rsidRPr="0085349B" w:rsidRDefault="00E814CA" w:rsidP="00E814CA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  <w:kern w:val="0"/>
                <w:sz w:val="20"/>
                <w:szCs w:val="20"/>
                <w:lang w:val="es-ES_tradnl"/>
                <w14:ligatures w14:val="none"/>
              </w:rPr>
            </w:pPr>
          </w:p>
          <w:p w14:paraId="6E99E41C" w14:textId="77777777" w:rsidR="0085349B" w:rsidRDefault="0085349B" w:rsidP="00E814CA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85349B">
              <w:rPr>
                <w:rFonts w:ascii="Arial" w:eastAsia="Cambria" w:hAnsi="Arial" w:cs="Arial"/>
                <w:bCs/>
                <w:kern w:val="0"/>
                <w:sz w:val="20"/>
                <w:szCs w:val="20"/>
                <w:lang w:val="es-ES_tradnl"/>
                <w14:ligatures w14:val="none"/>
              </w:rPr>
              <w:t>Con ambos documentos no solo se da cumplimiento a los requerimientos establecidos en los artículos 112 a 114 del RD 500/1990de 20 de abril, por el que se desarrolla el capítulo primero del título sexto de la Ley 39/1988, de 28 de diciembre, reguladora de las Haciendas Locales en materia de presupuestos, sino que se incorpora y desarrolla otra información relevante en el ejercicio de publicidad activa que ha de regir la gestión presupuestaria de las Entidades adscritas al Sector Público Insular.</w:t>
            </w:r>
          </w:p>
          <w:p w14:paraId="20D0ED20" w14:textId="77777777" w:rsidR="00E814CA" w:rsidRPr="0085349B" w:rsidRDefault="00E814CA" w:rsidP="00E814CA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  <w:kern w:val="0"/>
                <w:sz w:val="20"/>
                <w:szCs w:val="20"/>
                <w:lang w:val="es-ES_tradnl"/>
                <w14:ligatures w14:val="none"/>
              </w:rPr>
            </w:pPr>
          </w:p>
          <w:p w14:paraId="0A25AE48" w14:textId="77777777" w:rsidR="0085349B" w:rsidRPr="0085349B" w:rsidRDefault="0085349B" w:rsidP="00E81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</w:rPr>
            </w:pPr>
            <w:r w:rsidRPr="0085349B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</w:rPr>
              <w:t>1. DESCRIPCIÓN GENERAL DE LA ENTIDAD.</w:t>
            </w:r>
          </w:p>
          <w:p w14:paraId="629BC8D6" w14:textId="77777777" w:rsidR="0085349B" w:rsidRPr="0085349B" w:rsidRDefault="0085349B" w:rsidP="00853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</w:rPr>
            </w:pPr>
          </w:p>
          <w:p w14:paraId="0D749AED" w14:textId="77777777" w:rsidR="0085349B" w:rsidRPr="00640140" w:rsidRDefault="0085349B" w:rsidP="00640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40140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  1.1. Actividad principal de la entidad</w:t>
            </w:r>
            <w:r w:rsidR="00FB1B0A" w:rsidRPr="00640140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: </w:t>
            </w:r>
            <w:r w:rsidR="000730C1" w:rsidRPr="00640140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  <w:t>la promoción, construcción y explotación (arrendamiento) de naves y espacios para empresas del sector alimentario y actividades complementarias. Así como, el desarrollo y gestión de actividades empresariales para la mejora en todos los órdenes del ciclo de comercialización de los productos alimenticios en la provincia de Santa Cruz de Tenerife, prestando especial relevancia y apoyo al producto local.</w:t>
            </w:r>
          </w:p>
          <w:p w14:paraId="0B35FBD4" w14:textId="74129822" w:rsidR="008C7E1E" w:rsidRPr="00640140" w:rsidRDefault="0085349B" w:rsidP="00640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  <w:r w:rsidRPr="00640140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  1.2. Año de constitución de la entidad:</w:t>
            </w:r>
            <w:r w:rsidR="004A11DD" w:rsidRPr="00640140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4A11DD" w:rsidRPr="00640140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  <w:t>1974</w:t>
            </w:r>
          </w:p>
          <w:p w14:paraId="3370F726" w14:textId="08635700" w:rsidR="0085349B" w:rsidRPr="00640140" w:rsidRDefault="0085349B" w:rsidP="00640140">
            <w:pPr>
              <w:spacing w:after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640140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  1.3. Área del Cabildo Insular de Tenerife a la que se adscribe:</w:t>
            </w:r>
            <w:r w:rsidR="008C7E1E" w:rsidRPr="00640140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640140" w:rsidRPr="00640140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Área de Industria, Comercio, Sector Primario y Bienestar Animal.</w:t>
            </w:r>
          </w:p>
          <w:p w14:paraId="0FC63962" w14:textId="77777777" w:rsidR="0085349B" w:rsidRPr="00640140" w:rsidRDefault="0085349B" w:rsidP="00640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40140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  1.4. Medio Propio del Cabildo de Tenerife (SI/NO): </w:t>
            </w:r>
            <w:r w:rsidRPr="00640140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  <w:t>NO</w:t>
            </w:r>
          </w:p>
          <w:p w14:paraId="42943081" w14:textId="77777777" w:rsidR="0085349B" w:rsidRPr="0085349B" w:rsidRDefault="0085349B" w:rsidP="00853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4A159EC7" w14:textId="23554C94" w:rsidR="0085349B" w:rsidRPr="0085349B" w:rsidRDefault="0085349B" w:rsidP="00853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5349B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</w:rPr>
              <w:t>2. OBJETIVOS ESTRATÉGICOS DE LA ENTIDAD PARA EL EJERCICIO 202</w:t>
            </w:r>
            <w:r w:rsidR="005C270D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85349B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14:paraId="3A7910EF" w14:textId="77777777" w:rsidR="0085349B" w:rsidRPr="0085349B" w:rsidRDefault="0085349B" w:rsidP="00853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518B7618" w14:textId="149FB778" w:rsidR="0085349B" w:rsidRPr="0085349B" w:rsidRDefault="0085349B" w:rsidP="00853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  <w:r w:rsidRPr="0085349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  <w:t>La sociedad cuenta con un Plan Estratégico aprobado por el Consejo de Administración para el periodo 2022-2024 con cuatro líneas estratégicas y los correspondientes objetivos estratégicos de cada una.</w:t>
            </w:r>
          </w:p>
          <w:p w14:paraId="2ADA3439" w14:textId="2FA383E1" w:rsidR="00641F70" w:rsidRPr="003564DA" w:rsidRDefault="001823AA" w:rsidP="00641F70">
            <w:pPr>
              <w:spacing w:before="240" w:after="0" w:line="240" w:lineRule="auto"/>
              <w:jc w:val="both"/>
              <w:rPr>
                <w:rFonts w:ascii="Arial" w:eastAsia="Cambria" w:hAnsi="Arial" w:cs="Arial"/>
                <w:bCs/>
                <w:i/>
                <w:iCs/>
                <w:kern w:val="0"/>
                <w:sz w:val="20"/>
                <w:szCs w:val="20"/>
                <w:u w:val="single"/>
                <w:lang w:val="es-ES_tradnl"/>
                <w14:ligatures w14:val="none"/>
              </w:rPr>
            </w:pPr>
            <w:r w:rsidRPr="003564DA">
              <w:rPr>
                <w:rFonts w:ascii="Arial" w:eastAsia="Cambria" w:hAnsi="Arial" w:cs="Arial"/>
                <w:bCs/>
                <w:i/>
                <w:iCs/>
                <w:kern w:val="0"/>
                <w:sz w:val="20"/>
                <w:szCs w:val="20"/>
                <w:u w:val="single"/>
                <w:lang w:val="es-ES_tradnl"/>
                <w14:ligatures w14:val="none"/>
              </w:rPr>
              <w:t>Línea Estratégica 1</w:t>
            </w:r>
            <w:r w:rsidR="00641F70" w:rsidRPr="003564DA">
              <w:rPr>
                <w:rFonts w:ascii="Arial" w:eastAsia="Cambria" w:hAnsi="Arial" w:cs="Arial"/>
                <w:bCs/>
                <w:i/>
                <w:iCs/>
                <w:kern w:val="0"/>
                <w:sz w:val="20"/>
                <w:szCs w:val="20"/>
                <w:u w:val="single"/>
                <w:lang w:val="es-ES_tradnl"/>
                <w14:ligatures w14:val="none"/>
              </w:rPr>
              <w:t>.</w:t>
            </w:r>
            <w:r w:rsidRPr="003564DA">
              <w:rPr>
                <w:rFonts w:ascii="Arial" w:eastAsia="Cambria" w:hAnsi="Arial" w:cs="Arial"/>
                <w:bCs/>
                <w:i/>
                <w:iCs/>
                <w:kern w:val="0"/>
                <w:sz w:val="20"/>
                <w:szCs w:val="20"/>
                <w:u w:val="single"/>
                <w:lang w:val="es-ES_tradnl"/>
                <w14:ligatures w14:val="none"/>
              </w:rPr>
              <w:t xml:space="preserve"> Excelencia y Transparencia.</w:t>
            </w:r>
          </w:p>
          <w:p w14:paraId="3586630E" w14:textId="73825104" w:rsidR="00641F70" w:rsidRPr="00641F70" w:rsidRDefault="00641F70" w:rsidP="00641F70">
            <w:pPr>
              <w:pStyle w:val="Prrafodelista"/>
              <w:numPr>
                <w:ilvl w:val="0"/>
                <w:numId w:val="7"/>
              </w:numPr>
              <w:rPr>
                <w:rFonts w:ascii="Arial" w:eastAsia="Cambria" w:hAnsi="Arial" w:cs="Arial"/>
                <w:bCs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641F70">
              <w:rPr>
                <w:rFonts w:ascii="Arial" w:eastAsia="Cambria" w:hAnsi="Arial" w:cs="Arial"/>
                <w:bCs/>
                <w:kern w:val="0"/>
                <w:sz w:val="20"/>
                <w:szCs w:val="20"/>
                <w:lang w:val="es-ES_tradnl"/>
                <w14:ligatures w14:val="none"/>
              </w:rPr>
              <w:t xml:space="preserve">Objetivo estratégico: </w:t>
            </w:r>
            <w:r w:rsidR="003564DA">
              <w:rPr>
                <w:rFonts w:ascii="Arial" w:eastAsia="Cambria" w:hAnsi="Arial" w:cs="Arial"/>
                <w:bCs/>
                <w:kern w:val="0"/>
                <w:sz w:val="20"/>
                <w:szCs w:val="20"/>
                <w:lang w:val="es-ES_tradnl"/>
                <w14:ligatures w14:val="none"/>
              </w:rPr>
              <w:t>Eficiencia y calidad del servicio.</w:t>
            </w:r>
          </w:p>
          <w:p w14:paraId="6A7D8522" w14:textId="1B6C3F4B" w:rsidR="001823AA" w:rsidRPr="003564DA" w:rsidRDefault="001823AA" w:rsidP="00641F70">
            <w:pPr>
              <w:spacing w:before="240" w:after="0" w:line="240" w:lineRule="auto"/>
              <w:jc w:val="both"/>
              <w:rPr>
                <w:rFonts w:ascii="Arial" w:eastAsia="Cambria" w:hAnsi="Arial" w:cs="Arial"/>
                <w:bCs/>
                <w:i/>
                <w:iCs/>
                <w:kern w:val="0"/>
                <w:sz w:val="20"/>
                <w:szCs w:val="20"/>
                <w:u w:val="single"/>
                <w:lang w:val="es-ES_tradnl"/>
                <w14:ligatures w14:val="none"/>
              </w:rPr>
            </w:pPr>
            <w:r w:rsidRPr="003564DA">
              <w:rPr>
                <w:rFonts w:ascii="Arial" w:eastAsia="Cambria" w:hAnsi="Arial" w:cs="Arial"/>
                <w:bCs/>
                <w:i/>
                <w:iCs/>
                <w:kern w:val="0"/>
                <w:sz w:val="20"/>
                <w:szCs w:val="20"/>
                <w:u w:val="single"/>
                <w:lang w:val="es-ES_tradnl"/>
                <w14:ligatures w14:val="none"/>
              </w:rPr>
              <w:t>Línea Estratégica 2: Productividad y Profesionalidad de las Personas.</w:t>
            </w:r>
          </w:p>
          <w:p w14:paraId="0DB08028" w14:textId="557BDB90" w:rsidR="00641F70" w:rsidRPr="00641F70" w:rsidRDefault="00641F70" w:rsidP="00641F70">
            <w:pPr>
              <w:pStyle w:val="Prrafodelista"/>
              <w:numPr>
                <w:ilvl w:val="0"/>
                <w:numId w:val="7"/>
              </w:numPr>
              <w:rPr>
                <w:rFonts w:ascii="Arial" w:eastAsia="Cambria" w:hAnsi="Arial" w:cs="Arial"/>
                <w:bCs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641F70">
              <w:rPr>
                <w:rFonts w:ascii="Arial" w:eastAsia="Cambria" w:hAnsi="Arial" w:cs="Arial"/>
                <w:bCs/>
                <w:kern w:val="0"/>
                <w:sz w:val="20"/>
                <w:szCs w:val="20"/>
                <w:lang w:val="es-ES_tradnl"/>
                <w14:ligatures w14:val="none"/>
              </w:rPr>
              <w:t xml:space="preserve">Objetivo estratégico: </w:t>
            </w:r>
            <w:r w:rsidR="000B4F87">
              <w:rPr>
                <w:rFonts w:ascii="Arial" w:eastAsia="Cambria" w:hAnsi="Arial" w:cs="Arial"/>
                <w:bCs/>
                <w:kern w:val="0"/>
                <w:sz w:val="20"/>
                <w:szCs w:val="20"/>
                <w:lang w:val="es-ES_tradnl"/>
                <w14:ligatures w14:val="none"/>
              </w:rPr>
              <w:t>Organización eficiente y comprometida.</w:t>
            </w:r>
          </w:p>
          <w:p w14:paraId="77200DAA" w14:textId="680E7522" w:rsidR="001823AA" w:rsidRPr="003564DA" w:rsidRDefault="00641F70" w:rsidP="00641F70">
            <w:pPr>
              <w:spacing w:before="240" w:after="0" w:line="240" w:lineRule="auto"/>
              <w:jc w:val="both"/>
              <w:rPr>
                <w:rFonts w:ascii="Arial" w:eastAsia="Cambria" w:hAnsi="Arial" w:cs="Arial"/>
                <w:bCs/>
                <w:i/>
                <w:iCs/>
                <w:kern w:val="0"/>
                <w:sz w:val="20"/>
                <w:szCs w:val="20"/>
                <w:u w:val="single"/>
                <w:lang w:val="es-ES_tradnl"/>
                <w14:ligatures w14:val="none"/>
              </w:rPr>
            </w:pPr>
            <w:r w:rsidRPr="003564DA">
              <w:rPr>
                <w:rFonts w:ascii="Arial" w:eastAsia="Cambria" w:hAnsi="Arial" w:cs="Arial"/>
                <w:bCs/>
                <w:i/>
                <w:iCs/>
                <w:kern w:val="0"/>
                <w:sz w:val="20"/>
                <w:szCs w:val="20"/>
                <w:u w:val="single"/>
                <w:lang w:val="es-ES_tradnl"/>
                <w14:ligatures w14:val="none"/>
              </w:rPr>
              <w:t>Línea Estratégica 3: Competitividad de la Unidad Alimentaria.</w:t>
            </w:r>
          </w:p>
          <w:p w14:paraId="3C893B39" w14:textId="6FA271FF" w:rsidR="00641F70" w:rsidRPr="00641F70" w:rsidRDefault="00641F70" w:rsidP="00641F70">
            <w:pPr>
              <w:pStyle w:val="Prrafodelista"/>
              <w:numPr>
                <w:ilvl w:val="0"/>
                <w:numId w:val="7"/>
              </w:numPr>
              <w:rPr>
                <w:rFonts w:ascii="Arial" w:eastAsia="Cambria" w:hAnsi="Arial" w:cs="Arial"/>
                <w:bCs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641F70">
              <w:rPr>
                <w:rFonts w:ascii="Arial" w:eastAsia="Cambria" w:hAnsi="Arial" w:cs="Arial"/>
                <w:bCs/>
                <w:kern w:val="0"/>
                <w:sz w:val="20"/>
                <w:szCs w:val="20"/>
                <w:lang w:val="es-ES_tradnl"/>
                <w14:ligatures w14:val="none"/>
              </w:rPr>
              <w:t xml:space="preserve">Objetivo estratégico: </w:t>
            </w:r>
            <w:r w:rsidR="000B4F87">
              <w:rPr>
                <w:rFonts w:ascii="Arial" w:eastAsia="Cambria" w:hAnsi="Arial" w:cs="Arial"/>
                <w:bCs/>
                <w:kern w:val="0"/>
                <w:sz w:val="20"/>
                <w:szCs w:val="20"/>
                <w:lang w:val="es-ES_tradnl"/>
                <w14:ligatures w14:val="none"/>
              </w:rPr>
              <w:t xml:space="preserve">Fidelización de clientes y </w:t>
            </w:r>
            <w:proofErr w:type="spellStart"/>
            <w:r w:rsidR="000B4F87">
              <w:rPr>
                <w:rFonts w:ascii="Arial" w:eastAsia="Cambria" w:hAnsi="Arial" w:cs="Arial"/>
                <w:bCs/>
                <w:kern w:val="0"/>
                <w:sz w:val="20"/>
                <w:szCs w:val="20"/>
                <w:lang w:val="es-ES_tradnl"/>
                <w14:ligatures w14:val="none"/>
              </w:rPr>
              <w:t>mix</w:t>
            </w:r>
            <w:proofErr w:type="spellEnd"/>
            <w:r w:rsidR="000B4F87">
              <w:rPr>
                <w:rFonts w:ascii="Arial" w:eastAsia="Cambria" w:hAnsi="Arial" w:cs="Arial"/>
                <w:bCs/>
                <w:kern w:val="0"/>
                <w:sz w:val="20"/>
                <w:szCs w:val="20"/>
                <w:lang w:val="es-ES_tradnl"/>
                <w14:ligatures w14:val="none"/>
              </w:rPr>
              <w:t xml:space="preserve"> de servicios.</w:t>
            </w:r>
          </w:p>
          <w:p w14:paraId="687714A0" w14:textId="41741FC9" w:rsidR="00641F70" w:rsidRPr="003564DA" w:rsidRDefault="00641F70" w:rsidP="00733C9E">
            <w:pPr>
              <w:spacing w:after="0" w:line="240" w:lineRule="auto"/>
              <w:jc w:val="both"/>
              <w:rPr>
                <w:rFonts w:ascii="Arial" w:eastAsia="Cambria" w:hAnsi="Arial" w:cs="Arial"/>
                <w:bCs/>
                <w:i/>
                <w:iCs/>
                <w:kern w:val="0"/>
                <w:sz w:val="20"/>
                <w:szCs w:val="20"/>
                <w:u w:val="single"/>
                <w:lang w:val="es-ES_tradnl"/>
                <w14:ligatures w14:val="none"/>
              </w:rPr>
            </w:pPr>
            <w:r w:rsidRPr="003564DA">
              <w:rPr>
                <w:rFonts w:ascii="Arial" w:eastAsia="Cambria" w:hAnsi="Arial" w:cs="Arial"/>
                <w:bCs/>
                <w:i/>
                <w:iCs/>
                <w:kern w:val="0"/>
                <w:sz w:val="20"/>
                <w:szCs w:val="20"/>
                <w:u w:val="single"/>
                <w:lang w:val="es-ES_tradnl"/>
                <w14:ligatures w14:val="none"/>
              </w:rPr>
              <w:t>Línea Estratégica 4: Posicionamiento de la Unidad Alimentaria.</w:t>
            </w:r>
          </w:p>
          <w:p w14:paraId="37FBC330" w14:textId="70DE7214" w:rsidR="00E814CA" w:rsidRPr="00641F70" w:rsidRDefault="00641F70" w:rsidP="00733C9E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Arial" w:eastAsia="Cambria" w:hAnsi="Arial" w:cs="Arial"/>
                <w:bCs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641F70">
              <w:rPr>
                <w:rFonts w:ascii="Arial" w:eastAsia="Cambria" w:hAnsi="Arial" w:cs="Arial"/>
                <w:bCs/>
                <w:kern w:val="0"/>
                <w:sz w:val="20"/>
                <w:szCs w:val="20"/>
                <w:lang w:val="es-ES_tradnl"/>
                <w14:ligatures w14:val="none"/>
              </w:rPr>
              <w:t>Objetivo estratégico:</w:t>
            </w:r>
            <w:r w:rsidR="000B4F87">
              <w:rPr>
                <w:rFonts w:ascii="Arial" w:eastAsia="Cambria" w:hAnsi="Arial" w:cs="Arial"/>
                <w:bCs/>
                <w:kern w:val="0"/>
                <w:sz w:val="20"/>
                <w:szCs w:val="20"/>
                <w:lang w:val="es-ES_tradnl"/>
                <w14:ligatures w14:val="none"/>
              </w:rPr>
              <w:t xml:space="preserve"> Comunicación y RSC.</w:t>
            </w:r>
          </w:p>
          <w:p w14:paraId="507BEB91" w14:textId="77777777" w:rsidR="000730C1" w:rsidRDefault="000730C1" w:rsidP="00733C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</w:p>
          <w:p w14:paraId="3D08FF6E" w14:textId="1078B6F9" w:rsidR="0085349B" w:rsidRPr="0085349B" w:rsidRDefault="0085349B" w:rsidP="00733C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</w:rPr>
            </w:pPr>
            <w:r w:rsidRPr="0085349B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</w:rPr>
              <w:t>3. PRINCIPALES PROYECTOS Y ACTIVIDADES A DESARROLLAR EN EL EJERCICIO 202</w:t>
            </w:r>
            <w:r w:rsidR="005C270D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85349B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14:paraId="1D3BEC11" w14:textId="77777777" w:rsidR="0085349B" w:rsidRDefault="0085349B" w:rsidP="00853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</w:p>
          <w:p w14:paraId="1EDBF822" w14:textId="77777777" w:rsidR="0085349B" w:rsidRPr="007F1305" w:rsidRDefault="0085349B" w:rsidP="00853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/>
                <w:iCs/>
                <w:color w:val="FF0000"/>
                <w:kern w:val="0"/>
                <w:sz w:val="20"/>
                <w:szCs w:val="20"/>
              </w:rPr>
            </w:pPr>
            <w:r w:rsidRPr="0085349B">
              <w:rPr>
                <w:rFonts w:ascii="Arial" w:eastAsia="Calibri" w:hAnsi="Arial" w:cs="Arial"/>
                <w:kern w:val="0"/>
                <w:sz w:val="20"/>
                <w:szCs w:val="20"/>
              </w:rPr>
              <w:t xml:space="preserve">Acciones a desarrollar </w:t>
            </w:r>
            <w:r w:rsidRPr="007F1305">
              <w:rPr>
                <w:rFonts w:ascii="Arial" w:eastAsia="Calibri" w:hAnsi="Arial" w:cs="Arial"/>
                <w:b/>
                <w:bCs/>
                <w:i/>
                <w:iCs/>
                <w:kern w:val="0"/>
                <w:sz w:val="20"/>
                <w:szCs w:val="20"/>
              </w:rPr>
              <w:t>Línea Estratégica 1 (Excelencia y Transparencia):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04"/>
              <w:gridCol w:w="7064"/>
            </w:tblGrid>
            <w:tr w:rsidR="0085349B" w:rsidRPr="0085349B" w14:paraId="0D0B2871" w14:textId="77777777" w:rsidTr="00640140">
              <w:tc>
                <w:tcPr>
                  <w:tcW w:w="1204" w:type="dxa"/>
                  <w:shd w:val="clear" w:color="auto" w:fill="FBE4D5" w:themeFill="accent2" w:themeFillTint="33"/>
                </w:tcPr>
                <w:p w14:paraId="3F02FD22" w14:textId="77777777" w:rsidR="0085349B" w:rsidRPr="0085349B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bookmarkStart w:id="0" w:name="_Hlk120648145"/>
                  <w:r w:rsidRPr="0085349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Acción 1</w:t>
                  </w:r>
                </w:p>
              </w:tc>
              <w:tc>
                <w:tcPr>
                  <w:tcW w:w="7064" w:type="dxa"/>
                </w:tcPr>
                <w:p w14:paraId="70B5E47B" w14:textId="77777777" w:rsidR="0085349B" w:rsidRPr="0085349B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5349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Compliance</w:t>
                  </w:r>
                  <w:proofErr w:type="spellEnd"/>
                </w:p>
              </w:tc>
            </w:tr>
            <w:tr w:rsidR="0085349B" w:rsidRPr="0085349B" w14:paraId="79121E3D" w14:textId="77777777" w:rsidTr="00640140">
              <w:tc>
                <w:tcPr>
                  <w:tcW w:w="1204" w:type="dxa"/>
                  <w:shd w:val="clear" w:color="auto" w:fill="FBE4D5" w:themeFill="accent2" w:themeFillTint="33"/>
                </w:tcPr>
                <w:p w14:paraId="001B1DF1" w14:textId="77777777" w:rsidR="0085349B" w:rsidRPr="0085349B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349B">
                    <w:rPr>
                      <w:rFonts w:ascii="Arial" w:hAnsi="Arial" w:cs="Arial"/>
                      <w:sz w:val="20"/>
                      <w:szCs w:val="20"/>
                    </w:rPr>
                    <w:t>Objetivo</w:t>
                  </w:r>
                </w:p>
              </w:tc>
              <w:tc>
                <w:tcPr>
                  <w:tcW w:w="7064" w:type="dxa"/>
                </w:tcPr>
                <w:p w14:paraId="2B586471" w14:textId="322C9DD8" w:rsidR="0085349B" w:rsidRPr="0085349B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349B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Establecer las políticas y procedimientos adecuados</w:t>
                  </w:r>
                  <w:r w:rsidR="002B7F6E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85349B"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para garantizar que Mercatenerife desarrolle sus actividades conforme a la normativa vigente y a las políticas y procedimientos internos, promoviendo una cultura de cumplimiento entre sus empleados, directivos y agentes vinculados.</w:t>
                  </w:r>
                </w:p>
              </w:tc>
            </w:tr>
            <w:tr w:rsidR="0085349B" w:rsidRPr="0085349B" w14:paraId="57225F3F" w14:textId="77777777" w:rsidTr="00640140">
              <w:tc>
                <w:tcPr>
                  <w:tcW w:w="1204" w:type="dxa"/>
                  <w:shd w:val="clear" w:color="auto" w:fill="FBE4D5" w:themeFill="accent2" w:themeFillTint="33"/>
                </w:tcPr>
                <w:p w14:paraId="471EF48F" w14:textId="77777777" w:rsidR="0085349B" w:rsidRPr="0085349B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349B">
                    <w:rPr>
                      <w:rFonts w:ascii="Arial" w:hAnsi="Arial" w:cs="Arial"/>
                      <w:sz w:val="20"/>
                      <w:szCs w:val="20"/>
                    </w:rPr>
                    <w:t>KPI</w:t>
                  </w:r>
                </w:p>
              </w:tc>
              <w:tc>
                <w:tcPr>
                  <w:tcW w:w="7064" w:type="dxa"/>
                </w:tcPr>
                <w:p w14:paraId="0998E918" w14:textId="77777777" w:rsidR="0085349B" w:rsidRPr="0085349B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</w:pPr>
                  <w:r w:rsidRPr="0085349B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 xml:space="preserve">Implantación del Sistema de Gestión de </w:t>
                  </w:r>
                  <w:proofErr w:type="spellStart"/>
                  <w:r w:rsidRPr="0085349B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Compliance</w:t>
                  </w:r>
                  <w:proofErr w:type="spellEnd"/>
                  <w:r w:rsidRPr="0085349B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: si/no.</w:t>
                  </w:r>
                </w:p>
                <w:p w14:paraId="4A32FAB6" w14:textId="77777777" w:rsidR="0085349B" w:rsidRPr="0085349B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</w:pPr>
                  <w:proofErr w:type="spellStart"/>
                  <w:r w:rsidRPr="0085349B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Nº</w:t>
                  </w:r>
                  <w:proofErr w:type="spellEnd"/>
                  <w:r w:rsidRPr="0085349B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 xml:space="preserve"> de incumplimientos identificados.</w:t>
                  </w:r>
                </w:p>
                <w:p w14:paraId="20C8EC6A" w14:textId="77777777" w:rsidR="0085349B" w:rsidRPr="0085349B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85349B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Nº</w:t>
                  </w:r>
                  <w:proofErr w:type="spellEnd"/>
                  <w:r w:rsidRPr="0085349B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 xml:space="preserve"> de incidencias registradas relacionadas con empleados o proveedores.</w:t>
                  </w:r>
                </w:p>
              </w:tc>
            </w:tr>
            <w:bookmarkEnd w:id="0"/>
          </w:tbl>
          <w:p w14:paraId="5CACCB54" w14:textId="77777777" w:rsidR="0085349B" w:rsidRPr="0085349B" w:rsidRDefault="0085349B" w:rsidP="0085349B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05"/>
              <w:gridCol w:w="7063"/>
            </w:tblGrid>
            <w:tr w:rsidR="0085349B" w:rsidRPr="0085349B" w14:paraId="050A89D3" w14:textId="77777777" w:rsidTr="002C75AE">
              <w:tc>
                <w:tcPr>
                  <w:tcW w:w="1271" w:type="dxa"/>
                  <w:shd w:val="clear" w:color="auto" w:fill="FBE4D5" w:themeFill="accent2" w:themeFillTint="33"/>
                </w:tcPr>
                <w:p w14:paraId="6C012E61" w14:textId="77777777" w:rsidR="0085349B" w:rsidRPr="0085349B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5349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Acción 2</w:t>
                  </w:r>
                </w:p>
              </w:tc>
              <w:tc>
                <w:tcPr>
                  <w:tcW w:w="8505" w:type="dxa"/>
                </w:tcPr>
                <w:p w14:paraId="045D296A" w14:textId="77777777" w:rsidR="0085349B" w:rsidRPr="0085349B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5349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RSC: Cero Gestión de Impropios</w:t>
                  </w:r>
                </w:p>
              </w:tc>
            </w:tr>
            <w:tr w:rsidR="0085349B" w:rsidRPr="0085349B" w14:paraId="1344BBDF" w14:textId="77777777" w:rsidTr="002C75AE">
              <w:tc>
                <w:tcPr>
                  <w:tcW w:w="1271" w:type="dxa"/>
                  <w:shd w:val="clear" w:color="auto" w:fill="FBE4D5" w:themeFill="accent2" w:themeFillTint="33"/>
                </w:tcPr>
                <w:p w14:paraId="00560D9E" w14:textId="77777777" w:rsidR="0085349B" w:rsidRPr="0085349B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349B">
                    <w:rPr>
                      <w:rFonts w:ascii="Arial" w:hAnsi="Arial" w:cs="Arial"/>
                      <w:sz w:val="20"/>
                      <w:szCs w:val="20"/>
                    </w:rPr>
                    <w:t>Objetivo</w:t>
                  </w:r>
                </w:p>
              </w:tc>
              <w:tc>
                <w:tcPr>
                  <w:tcW w:w="8505" w:type="dxa"/>
                </w:tcPr>
                <w:p w14:paraId="5A308AAC" w14:textId="0E237FBC" w:rsidR="0085349B" w:rsidRPr="0085349B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349B">
                    <w:rPr>
                      <w:rFonts w:ascii="Arial" w:hAnsi="Arial" w:cs="Arial"/>
                      <w:sz w:val="20"/>
                      <w:szCs w:val="20"/>
                    </w:rPr>
                    <w:t>Llevar a cabo labores de concienciación a nuestros clientes, a la vez de informarles de las directrices a seguir respecto a la separación selectiva y a la eficiencia en la gestión de residuos.</w:t>
                  </w:r>
                  <w:r w:rsidR="002B7F6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85349B">
                    <w:rPr>
                      <w:rFonts w:ascii="Arial" w:hAnsi="Arial" w:cs="Arial"/>
                      <w:sz w:val="20"/>
                      <w:szCs w:val="20"/>
                    </w:rPr>
                    <w:t>Se realizarán formaciones al respecto, con el objetivo de la no generación de impropios.</w:t>
                  </w:r>
                </w:p>
              </w:tc>
            </w:tr>
            <w:tr w:rsidR="0085349B" w:rsidRPr="0085349B" w14:paraId="46414912" w14:textId="77777777" w:rsidTr="002C75AE">
              <w:tc>
                <w:tcPr>
                  <w:tcW w:w="1271" w:type="dxa"/>
                  <w:shd w:val="clear" w:color="auto" w:fill="FBE4D5" w:themeFill="accent2" w:themeFillTint="33"/>
                </w:tcPr>
                <w:p w14:paraId="4EE80E3C" w14:textId="77777777" w:rsidR="0085349B" w:rsidRPr="0085349B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349B">
                    <w:rPr>
                      <w:rFonts w:ascii="Arial" w:hAnsi="Arial" w:cs="Arial"/>
                      <w:sz w:val="20"/>
                      <w:szCs w:val="20"/>
                    </w:rPr>
                    <w:t>KPI</w:t>
                  </w:r>
                </w:p>
              </w:tc>
              <w:tc>
                <w:tcPr>
                  <w:tcW w:w="8505" w:type="dxa"/>
                </w:tcPr>
                <w:p w14:paraId="377704CA" w14:textId="77777777" w:rsidR="0085349B" w:rsidRPr="0085349B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349B">
                    <w:rPr>
                      <w:rFonts w:ascii="Arial" w:hAnsi="Arial" w:cs="Arial"/>
                      <w:sz w:val="20"/>
                      <w:szCs w:val="20"/>
                    </w:rPr>
                    <w:t>% impropios año en vigor respecto al año anterior</w:t>
                  </w:r>
                </w:p>
                <w:p w14:paraId="6BFF8FEC" w14:textId="77777777" w:rsidR="0085349B" w:rsidRPr="0085349B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349B">
                    <w:rPr>
                      <w:rFonts w:ascii="Arial" w:hAnsi="Arial" w:cs="Arial"/>
                      <w:sz w:val="20"/>
                      <w:szCs w:val="20"/>
                    </w:rPr>
                    <w:t>Gasto por gestión de impropios año en vigor respecto al anterior</w:t>
                  </w:r>
                </w:p>
              </w:tc>
            </w:tr>
          </w:tbl>
          <w:p w14:paraId="0C90BDF2" w14:textId="77777777" w:rsidR="0085349B" w:rsidRDefault="0085349B" w:rsidP="008534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FD5FF4" w14:textId="3455AF2F" w:rsidR="0085349B" w:rsidRDefault="0085349B" w:rsidP="001823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349B">
              <w:rPr>
                <w:rFonts w:ascii="Arial" w:hAnsi="Arial" w:cs="Arial"/>
                <w:sz w:val="20"/>
                <w:szCs w:val="20"/>
              </w:rPr>
              <w:t xml:space="preserve">Acciones a desarrollar </w:t>
            </w:r>
            <w:r w:rsidRPr="007F13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Línea Estratégica 2 (Productividad y Profesionalidad de las Personas):</w:t>
            </w:r>
          </w:p>
          <w:p w14:paraId="4F4DE298" w14:textId="77777777" w:rsidR="001823AA" w:rsidRPr="001823AA" w:rsidRDefault="001823AA" w:rsidP="001823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05"/>
              <w:gridCol w:w="7063"/>
            </w:tblGrid>
            <w:tr w:rsidR="0085349B" w:rsidRPr="00EB37CE" w14:paraId="0FA671EF" w14:textId="77777777" w:rsidTr="002C75AE">
              <w:tc>
                <w:tcPr>
                  <w:tcW w:w="1271" w:type="dxa"/>
                  <w:shd w:val="clear" w:color="auto" w:fill="ACB9CA" w:themeFill="text2" w:themeFillTint="66"/>
                </w:tcPr>
                <w:p w14:paraId="39570B4D" w14:textId="234E7B78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B37C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Acción </w:t>
                  </w:r>
                  <w:r w:rsidR="001823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5" w:type="dxa"/>
                </w:tcPr>
                <w:p w14:paraId="5B5965E2" w14:textId="77777777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B37C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Mapa de procesos</w:t>
                  </w:r>
                </w:p>
              </w:tc>
            </w:tr>
            <w:tr w:rsidR="0085349B" w:rsidRPr="00EB37CE" w14:paraId="7CD228B6" w14:textId="77777777" w:rsidTr="002C75AE">
              <w:tc>
                <w:tcPr>
                  <w:tcW w:w="1271" w:type="dxa"/>
                  <w:shd w:val="clear" w:color="auto" w:fill="ACB9CA" w:themeFill="text2" w:themeFillTint="66"/>
                </w:tcPr>
                <w:p w14:paraId="7F6DA7B3" w14:textId="77777777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37CE">
                    <w:rPr>
                      <w:rFonts w:ascii="Arial" w:hAnsi="Arial" w:cs="Arial"/>
                      <w:sz w:val="20"/>
                      <w:szCs w:val="20"/>
                    </w:rPr>
                    <w:t>Objetivo</w:t>
                  </w:r>
                </w:p>
              </w:tc>
              <w:tc>
                <w:tcPr>
                  <w:tcW w:w="8505" w:type="dxa"/>
                </w:tcPr>
                <w:p w14:paraId="2CC781FA" w14:textId="28576163" w:rsidR="0085349B" w:rsidRPr="00EB37CE" w:rsidRDefault="002B7F6E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Elaboración</w:t>
                  </w:r>
                  <w:r w:rsidR="0085349B" w:rsidRPr="00EB37CE">
                    <w:rPr>
                      <w:rFonts w:ascii="Arial" w:hAnsi="Arial" w:cs="Arial"/>
                      <w:sz w:val="20"/>
                      <w:szCs w:val="20"/>
                    </w:rPr>
                    <w:t xml:space="preserve"> de un nuevo mapa de procesos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para</w:t>
                  </w:r>
                  <w:r w:rsidR="0085349B" w:rsidRPr="00EB37CE">
                    <w:rPr>
                      <w:rFonts w:ascii="Arial" w:hAnsi="Arial" w:cs="Arial"/>
                      <w:sz w:val="20"/>
                      <w:szCs w:val="20"/>
                    </w:rPr>
                    <w:t xml:space="preserve"> actualizar y alinear los procesos con nueva estructura organizativa cubriendo las necesidades actuales y velando por la máxima eficiencia en el desarrollo de las actividades.</w:t>
                  </w:r>
                </w:p>
              </w:tc>
            </w:tr>
            <w:tr w:rsidR="0085349B" w:rsidRPr="00EB37CE" w14:paraId="27731757" w14:textId="77777777" w:rsidTr="002C75AE">
              <w:tc>
                <w:tcPr>
                  <w:tcW w:w="1271" w:type="dxa"/>
                  <w:shd w:val="clear" w:color="auto" w:fill="ACB9CA" w:themeFill="text2" w:themeFillTint="66"/>
                </w:tcPr>
                <w:p w14:paraId="2570C69B" w14:textId="77777777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37CE">
                    <w:rPr>
                      <w:rFonts w:ascii="Arial" w:hAnsi="Arial" w:cs="Arial"/>
                      <w:sz w:val="20"/>
                      <w:szCs w:val="20"/>
                    </w:rPr>
                    <w:t>KPI</w:t>
                  </w:r>
                </w:p>
              </w:tc>
              <w:tc>
                <w:tcPr>
                  <w:tcW w:w="8505" w:type="dxa"/>
                </w:tcPr>
                <w:p w14:paraId="727FDEC7" w14:textId="77777777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</w:pPr>
                  <w:proofErr w:type="spellStart"/>
                  <w:r w:rsidRPr="00EB37CE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Nº</w:t>
                  </w:r>
                  <w:proofErr w:type="spellEnd"/>
                  <w:r w:rsidRPr="00EB37CE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 xml:space="preserve"> de quejas y sugerencias presentadas por el personal relacionadas con el puesto de trabajo. </w:t>
                  </w:r>
                </w:p>
                <w:p w14:paraId="2E927A85" w14:textId="19336F38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</w:pPr>
                  <w:proofErr w:type="spellStart"/>
                  <w:r w:rsidRPr="00EB37CE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Nº</w:t>
                  </w:r>
                  <w:proofErr w:type="spellEnd"/>
                  <w:r w:rsidRPr="00EB37CE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 xml:space="preserve"> de quejas y sugerencias presentadas por clientes</w:t>
                  </w:r>
                  <w:r w:rsidR="00854E80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 xml:space="preserve"> </w:t>
                  </w:r>
                  <w:proofErr w:type="spellStart"/>
                  <w:r w:rsidR="00854E80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relac</w:t>
                  </w:r>
                  <w:proofErr w:type="spellEnd"/>
                  <w:r w:rsidR="00854E80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. con Mercatenerife.</w:t>
                  </w:r>
                </w:p>
                <w:p w14:paraId="44730E77" w14:textId="77777777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</w:pPr>
                  <w:proofErr w:type="spellStart"/>
                  <w:r w:rsidRPr="00EB37CE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Nº</w:t>
                  </w:r>
                  <w:proofErr w:type="spellEnd"/>
                  <w:r w:rsidRPr="00EB37CE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 xml:space="preserve"> de quejas y sugerencias presentadas por clientes </w:t>
                  </w:r>
                  <w:proofErr w:type="spellStart"/>
                  <w:r w:rsidRPr="00EB37CE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rel</w:t>
                  </w:r>
                  <w:r w:rsidR="004774F3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ac</w:t>
                  </w:r>
                  <w:proofErr w:type="spellEnd"/>
                  <w:r w:rsidR="004774F3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.</w:t>
                  </w:r>
                  <w:r w:rsidRPr="00EB37CE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 xml:space="preserve"> con el personal.</w:t>
                  </w:r>
                </w:p>
                <w:p w14:paraId="0CFED662" w14:textId="77777777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</w:pPr>
                  <w:r w:rsidRPr="00EB37CE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Tiempo dedicado por tarea año en vigor respecto al año anterior.</w:t>
                  </w:r>
                </w:p>
              </w:tc>
            </w:tr>
          </w:tbl>
          <w:p w14:paraId="05531EC1" w14:textId="77777777" w:rsidR="0085349B" w:rsidRPr="0085349B" w:rsidRDefault="0085349B" w:rsidP="0085349B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kern w:val="0"/>
                <w:sz w:val="20"/>
                <w:szCs w:val="20"/>
                <w:lang w:val="es-ES_tradnl"/>
                <w14:ligatures w14:val="none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03"/>
              <w:gridCol w:w="7065"/>
            </w:tblGrid>
            <w:tr w:rsidR="0085349B" w:rsidRPr="00EB37CE" w14:paraId="5673FE0E" w14:textId="77777777" w:rsidTr="0085349B">
              <w:trPr>
                <w:trHeight w:val="70"/>
              </w:trPr>
              <w:tc>
                <w:tcPr>
                  <w:tcW w:w="1271" w:type="dxa"/>
                  <w:shd w:val="clear" w:color="auto" w:fill="ACB9CA" w:themeFill="text2" w:themeFillTint="66"/>
                </w:tcPr>
                <w:p w14:paraId="60CF83CA" w14:textId="7254A1EE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B37C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Acción </w:t>
                  </w:r>
                  <w:r w:rsidR="001823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5" w:type="dxa"/>
                </w:tcPr>
                <w:p w14:paraId="13FFC6A2" w14:textId="77777777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B37C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Plan de Transformación Digital</w:t>
                  </w:r>
                </w:p>
              </w:tc>
            </w:tr>
            <w:tr w:rsidR="0085349B" w:rsidRPr="00EB37CE" w14:paraId="6E22C048" w14:textId="77777777" w:rsidTr="002C75AE">
              <w:tc>
                <w:tcPr>
                  <w:tcW w:w="1271" w:type="dxa"/>
                  <w:shd w:val="clear" w:color="auto" w:fill="ACB9CA" w:themeFill="text2" w:themeFillTint="66"/>
                </w:tcPr>
                <w:p w14:paraId="3AE64AAF" w14:textId="77777777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37CE">
                    <w:rPr>
                      <w:rFonts w:ascii="Arial" w:hAnsi="Arial" w:cs="Arial"/>
                      <w:sz w:val="20"/>
                      <w:szCs w:val="20"/>
                    </w:rPr>
                    <w:t>Objetivo</w:t>
                  </w:r>
                </w:p>
              </w:tc>
              <w:tc>
                <w:tcPr>
                  <w:tcW w:w="8505" w:type="dxa"/>
                </w:tcPr>
                <w:p w14:paraId="2FCBEF1F" w14:textId="77777777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FFFFF"/>
                    </w:rPr>
                  </w:pPr>
                  <w:r w:rsidRPr="00EB37CE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FFFFF"/>
                    </w:rPr>
                    <w:t xml:space="preserve">Adaptar Mercatenerife en su conjunto a un modelo de relación digital que se aplique de forma eficaz, tanto dentro de la organización como externamente. </w:t>
                  </w:r>
                </w:p>
                <w:p w14:paraId="3DA1400B" w14:textId="77777777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37CE">
                    <w:rPr>
                      <w:rFonts w:ascii="Arial" w:hAnsi="Arial" w:cs="Arial"/>
                      <w:color w:val="202124"/>
                      <w:sz w:val="20"/>
                      <w:szCs w:val="20"/>
                      <w:shd w:val="clear" w:color="auto" w:fill="FFFFFF"/>
                    </w:rPr>
                    <w:t>Con un desempeño más eficiente, tanto de la administración como de la gestión de servicios, los clientes verán satisfechos sus requerimientos de manera más expedita y los trabajadores podrán desarrollar su labor de manera más eficaz.</w:t>
                  </w:r>
                </w:p>
              </w:tc>
            </w:tr>
            <w:tr w:rsidR="0085349B" w:rsidRPr="00EB37CE" w14:paraId="3DC02512" w14:textId="77777777" w:rsidTr="002C75AE">
              <w:tc>
                <w:tcPr>
                  <w:tcW w:w="1271" w:type="dxa"/>
                  <w:shd w:val="clear" w:color="auto" w:fill="ACB9CA" w:themeFill="text2" w:themeFillTint="66"/>
                </w:tcPr>
                <w:p w14:paraId="463785A3" w14:textId="77777777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37CE">
                    <w:rPr>
                      <w:rFonts w:ascii="Arial" w:hAnsi="Arial" w:cs="Arial"/>
                      <w:sz w:val="20"/>
                      <w:szCs w:val="20"/>
                    </w:rPr>
                    <w:t>KPI</w:t>
                  </w:r>
                </w:p>
              </w:tc>
              <w:tc>
                <w:tcPr>
                  <w:tcW w:w="8505" w:type="dxa"/>
                </w:tcPr>
                <w:p w14:paraId="5B0EA53D" w14:textId="77777777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</w:pPr>
                  <w:r w:rsidRPr="00EB37CE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Elaboración del Plan de transformación digital: si / no.</w:t>
                  </w:r>
                </w:p>
                <w:p w14:paraId="5BE60BFF" w14:textId="77777777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</w:pPr>
                  <w:r w:rsidRPr="00EB37CE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% de procedimientos digitalizados por departamento.</w:t>
                  </w:r>
                </w:p>
                <w:p w14:paraId="236712A0" w14:textId="77777777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</w:pPr>
                  <w:r w:rsidRPr="00EB37CE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Tiempo medio de respuesta en la gestión de incidencias.</w:t>
                  </w:r>
                </w:p>
                <w:p w14:paraId="4442478F" w14:textId="77777777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37CE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Valoración del servicio por parte de clientes y usuarios del Merca.</w:t>
                  </w:r>
                </w:p>
              </w:tc>
            </w:tr>
          </w:tbl>
          <w:p w14:paraId="0F5B0181" w14:textId="33D52C03" w:rsidR="0085349B" w:rsidRPr="0085349B" w:rsidRDefault="0085349B" w:rsidP="0085349B">
            <w:pPr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349B">
              <w:rPr>
                <w:rFonts w:ascii="Arial" w:hAnsi="Arial" w:cs="Arial"/>
                <w:sz w:val="20"/>
                <w:szCs w:val="20"/>
              </w:rPr>
              <w:t xml:space="preserve">Acciones a desarrollar </w:t>
            </w:r>
            <w:r w:rsidRPr="007F13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Línea Estratégica 3 (Competitividad de la Unidad Alimentaria):</w:t>
            </w:r>
          </w:p>
          <w:p w14:paraId="12F7DDD8" w14:textId="77777777" w:rsidR="0085349B" w:rsidRPr="0085349B" w:rsidRDefault="0085349B" w:rsidP="0085349B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05"/>
              <w:gridCol w:w="7063"/>
            </w:tblGrid>
            <w:tr w:rsidR="0085349B" w:rsidRPr="0085349B" w14:paraId="468988CD" w14:textId="77777777" w:rsidTr="002C75AE">
              <w:tc>
                <w:tcPr>
                  <w:tcW w:w="1271" w:type="dxa"/>
                  <w:shd w:val="clear" w:color="auto" w:fill="D9E2F3" w:themeFill="accent1" w:themeFillTint="33"/>
                </w:tcPr>
                <w:p w14:paraId="4A0652C7" w14:textId="37026793" w:rsidR="0085349B" w:rsidRPr="0085349B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5349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Acción </w:t>
                  </w:r>
                  <w:r w:rsidR="001823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5" w:type="dxa"/>
                </w:tcPr>
                <w:p w14:paraId="6FA275AE" w14:textId="77777777" w:rsidR="0085349B" w:rsidRPr="0085349B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5349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Plan Comercial</w:t>
                  </w:r>
                </w:p>
              </w:tc>
            </w:tr>
            <w:tr w:rsidR="0085349B" w:rsidRPr="0085349B" w14:paraId="27D9B0A4" w14:textId="77777777" w:rsidTr="002C75AE">
              <w:tc>
                <w:tcPr>
                  <w:tcW w:w="1271" w:type="dxa"/>
                  <w:shd w:val="clear" w:color="auto" w:fill="D9E2F3" w:themeFill="accent1" w:themeFillTint="33"/>
                </w:tcPr>
                <w:p w14:paraId="2551EC3A" w14:textId="77777777" w:rsidR="0085349B" w:rsidRPr="0085349B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349B">
                    <w:rPr>
                      <w:rFonts w:ascii="Arial" w:hAnsi="Arial" w:cs="Arial"/>
                      <w:sz w:val="20"/>
                      <w:szCs w:val="20"/>
                    </w:rPr>
                    <w:t>Objetivo</w:t>
                  </w:r>
                </w:p>
              </w:tc>
              <w:tc>
                <w:tcPr>
                  <w:tcW w:w="8505" w:type="dxa"/>
                </w:tcPr>
                <w:p w14:paraId="403AB90B" w14:textId="74B023EF" w:rsidR="0085349B" w:rsidRPr="0085349B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349B">
                    <w:rPr>
                      <w:rFonts w:ascii="Arial" w:hAnsi="Arial" w:cs="Arial"/>
                      <w:sz w:val="20"/>
                      <w:szCs w:val="20"/>
                    </w:rPr>
                    <w:t>Orientar la visión comercial de la sociedad, identificando las empresas a instalarse en el Edificio Administrativo, además de orientar las nuevas ocupaciones en los puestos de mercado o naves que puedan quedar vacías. Dentro de las posibilidades ver la reubicación de empresas instaladas que permita la inclusión de otros operadores distintos a fruta y verdura.</w:t>
                  </w:r>
                </w:p>
              </w:tc>
            </w:tr>
            <w:tr w:rsidR="0085349B" w:rsidRPr="0085349B" w14:paraId="0BCAE45D" w14:textId="77777777" w:rsidTr="002C75AE">
              <w:tc>
                <w:tcPr>
                  <w:tcW w:w="1271" w:type="dxa"/>
                  <w:shd w:val="clear" w:color="auto" w:fill="D9E2F3" w:themeFill="accent1" w:themeFillTint="33"/>
                </w:tcPr>
                <w:p w14:paraId="655A4EA8" w14:textId="77777777" w:rsidR="0085349B" w:rsidRPr="0085349B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349B">
                    <w:rPr>
                      <w:rFonts w:ascii="Arial" w:hAnsi="Arial" w:cs="Arial"/>
                      <w:sz w:val="20"/>
                      <w:szCs w:val="20"/>
                    </w:rPr>
                    <w:t>KPI</w:t>
                  </w:r>
                </w:p>
              </w:tc>
              <w:tc>
                <w:tcPr>
                  <w:tcW w:w="8505" w:type="dxa"/>
                </w:tcPr>
                <w:p w14:paraId="54885D05" w14:textId="77777777" w:rsidR="0085349B" w:rsidRPr="0085349B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349B">
                    <w:rPr>
                      <w:rFonts w:ascii="Arial" w:hAnsi="Arial" w:cs="Arial"/>
                      <w:sz w:val="20"/>
                      <w:szCs w:val="20"/>
                    </w:rPr>
                    <w:t>Variación % de ocupación: global y por complejo</w:t>
                  </w:r>
                </w:p>
                <w:p w14:paraId="0E65686E" w14:textId="77777777" w:rsidR="0085349B" w:rsidRPr="0085349B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349B">
                    <w:rPr>
                      <w:rFonts w:ascii="Arial" w:hAnsi="Arial" w:cs="Arial"/>
                      <w:sz w:val="20"/>
                      <w:szCs w:val="20"/>
                    </w:rPr>
                    <w:t>Variación en número de servicio</w:t>
                  </w:r>
                </w:p>
                <w:p w14:paraId="6363EEBE" w14:textId="77777777" w:rsidR="0085349B" w:rsidRPr="0085349B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349B">
                    <w:rPr>
                      <w:rFonts w:ascii="Arial" w:hAnsi="Arial" w:cs="Arial"/>
                      <w:sz w:val="20"/>
                      <w:szCs w:val="20"/>
                    </w:rPr>
                    <w:t>Variación en el número de compradores</w:t>
                  </w:r>
                </w:p>
              </w:tc>
            </w:tr>
          </w:tbl>
          <w:p w14:paraId="01A78880" w14:textId="77777777" w:rsidR="0085349B" w:rsidRDefault="0085349B" w:rsidP="0085349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FF0000"/>
                <w:kern w:val="0"/>
                <w:sz w:val="20"/>
                <w:szCs w:val="20"/>
                <w:lang w:val="es-ES_tradnl"/>
                <w14:ligatures w14:val="none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04"/>
              <w:gridCol w:w="7064"/>
            </w:tblGrid>
            <w:tr w:rsidR="0085349B" w:rsidRPr="00EB37CE" w14:paraId="1A68020D" w14:textId="77777777" w:rsidTr="002C75AE">
              <w:tc>
                <w:tcPr>
                  <w:tcW w:w="1271" w:type="dxa"/>
                  <w:shd w:val="clear" w:color="auto" w:fill="D9E2F3" w:themeFill="accent1" w:themeFillTint="33"/>
                </w:tcPr>
                <w:p w14:paraId="132C3945" w14:textId="702A8554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B37C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 xml:space="preserve">Acción </w:t>
                  </w:r>
                  <w:r w:rsidR="001823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5" w:type="dxa"/>
                </w:tcPr>
                <w:p w14:paraId="229DCA56" w14:textId="77777777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B37C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Mantenimiento y actualización de las instalaciones</w:t>
                  </w:r>
                </w:p>
              </w:tc>
            </w:tr>
            <w:tr w:rsidR="0085349B" w:rsidRPr="00EB37CE" w14:paraId="0EC9D871" w14:textId="77777777" w:rsidTr="002C75AE">
              <w:tc>
                <w:tcPr>
                  <w:tcW w:w="1271" w:type="dxa"/>
                  <w:shd w:val="clear" w:color="auto" w:fill="D9E2F3" w:themeFill="accent1" w:themeFillTint="33"/>
                </w:tcPr>
                <w:p w14:paraId="23235C6B" w14:textId="77777777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37CE">
                    <w:rPr>
                      <w:rFonts w:ascii="Arial" w:hAnsi="Arial" w:cs="Arial"/>
                      <w:sz w:val="20"/>
                      <w:szCs w:val="20"/>
                    </w:rPr>
                    <w:t>Objetivo</w:t>
                  </w:r>
                </w:p>
              </w:tc>
              <w:tc>
                <w:tcPr>
                  <w:tcW w:w="8505" w:type="dxa"/>
                </w:tcPr>
                <w:p w14:paraId="1E9D2CBC" w14:textId="77777777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37CE">
                    <w:rPr>
                      <w:rFonts w:ascii="Arial" w:hAnsi="Arial" w:cs="Arial"/>
                      <w:sz w:val="20"/>
                      <w:szCs w:val="20"/>
                    </w:rPr>
                    <w:t>Incluido en el Plan de Inversiones, serán labores de actualización de las instalaciones, tales como: cambio de cubiertas en naves de mercado, asfaltado, nueva instalación eléctrica y luminarias en la Nave de Producto Local, etc.</w:t>
                  </w:r>
                </w:p>
              </w:tc>
            </w:tr>
            <w:tr w:rsidR="0085349B" w:rsidRPr="00EB37CE" w14:paraId="01D8D0F6" w14:textId="77777777" w:rsidTr="002C75AE">
              <w:tc>
                <w:tcPr>
                  <w:tcW w:w="1271" w:type="dxa"/>
                  <w:shd w:val="clear" w:color="auto" w:fill="D9E2F3" w:themeFill="accent1" w:themeFillTint="33"/>
                </w:tcPr>
                <w:p w14:paraId="7081225B" w14:textId="77777777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37CE">
                    <w:rPr>
                      <w:rFonts w:ascii="Arial" w:hAnsi="Arial" w:cs="Arial"/>
                      <w:sz w:val="20"/>
                      <w:szCs w:val="20"/>
                    </w:rPr>
                    <w:t>KPI</w:t>
                  </w:r>
                </w:p>
              </w:tc>
              <w:tc>
                <w:tcPr>
                  <w:tcW w:w="8505" w:type="dxa"/>
                </w:tcPr>
                <w:p w14:paraId="250FE134" w14:textId="77777777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37CE">
                    <w:rPr>
                      <w:rFonts w:ascii="Arial" w:hAnsi="Arial" w:cs="Arial"/>
                      <w:sz w:val="20"/>
                      <w:szCs w:val="20"/>
                    </w:rPr>
                    <w:t>Variación % de ocupación: global y por complejo</w:t>
                  </w:r>
                </w:p>
                <w:p w14:paraId="6D3F458E" w14:textId="77777777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37CE">
                    <w:rPr>
                      <w:rFonts w:ascii="Arial" w:hAnsi="Arial" w:cs="Arial"/>
                      <w:sz w:val="20"/>
                      <w:szCs w:val="20"/>
                    </w:rPr>
                    <w:t>Variación en número de servicio</w:t>
                  </w:r>
                </w:p>
                <w:p w14:paraId="2F5C453C" w14:textId="77777777" w:rsidR="0085349B" w:rsidRPr="00EB37CE" w:rsidRDefault="0085349B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37CE">
                    <w:rPr>
                      <w:rFonts w:ascii="Arial" w:hAnsi="Arial" w:cs="Arial"/>
                      <w:sz w:val="20"/>
                      <w:szCs w:val="20"/>
                    </w:rPr>
                    <w:t>Variación en el número de compradores</w:t>
                  </w:r>
                </w:p>
              </w:tc>
            </w:tr>
          </w:tbl>
          <w:p w14:paraId="19A1733D" w14:textId="77777777" w:rsidR="00641F70" w:rsidRDefault="00641F70" w:rsidP="004774F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5D52FC0" w14:textId="586E46DD" w:rsidR="004774F3" w:rsidRPr="002F3FEB" w:rsidRDefault="004774F3" w:rsidP="004774F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2F3FEB">
              <w:rPr>
                <w:color w:val="auto"/>
                <w:sz w:val="20"/>
                <w:szCs w:val="20"/>
              </w:rPr>
              <w:t xml:space="preserve">Acciones a desarrollar </w:t>
            </w:r>
            <w:r w:rsidRPr="007F1305">
              <w:rPr>
                <w:b/>
                <w:bCs/>
                <w:i/>
                <w:iCs/>
                <w:color w:val="auto"/>
                <w:sz w:val="20"/>
                <w:szCs w:val="20"/>
              </w:rPr>
              <w:t>Línea Estratégica 4 (Posicionamiento de la Unidad Alimentaria):</w:t>
            </w:r>
          </w:p>
          <w:p w14:paraId="1E26DA48" w14:textId="77777777" w:rsidR="004774F3" w:rsidRPr="002F3FEB" w:rsidRDefault="004774F3" w:rsidP="004774F3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04"/>
              <w:gridCol w:w="7064"/>
            </w:tblGrid>
            <w:tr w:rsidR="004774F3" w:rsidRPr="00FE7EDC" w14:paraId="3E41D3F9" w14:textId="77777777" w:rsidTr="002C75AE">
              <w:tc>
                <w:tcPr>
                  <w:tcW w:w="1271" w:type="dxa"/>
                  <w:shd w:val="clear" w:color="auto" w:fill="F7CAAC" w:themeFill="accent2" w:themeFillTint="66"/>
                </w:tcPr>
                <w:p w14:paraId="5390C7AF" w14:textId="6D4EB1FD" w:rsidR="004774F3" w:rsidRPr="00FE7EDC" w:rsidRDefault="004774F3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FE7ED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Acción </w:t>
                  </w:r>
                  <w:r w:rsidR="001823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5" w:type="dxa"/>
                </w:tcPr>
                <w:p w14:paraId="74496202" w14:textId="77777777" w:rsidR="004774F3" w:rsidRPr="00FE7EDC" w:rsidRDefault="004774F3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FE7ED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Actuaciones de dinamización: sector primario y producto local</w:t>
                  </w:r>
                </w:p>
              </w:tc>
            </w:tr>
            <w:tr w:rsidR="004774F3" w:rsidRPr="00FE7EDC" w14:paraId="167520CC" w14:textId="77777777" w:rsidTr="002C75AE">
              <w:tc>
                <w:tcPr>
                  <w:tcW w:w="1271" w:type="dxa"/>
                  <w:shd w:val="clear" w:color="auto" w:fill="F7CAAC" w:themeFill="accent2" w:themeFillTint="66"/>
                </w:tcPr>
                <w:p w14:paraId="7E6DCB00" w14:textId="77777777" w:rsidR="004774F3" w:rsidRPr="00FE7EDC" w:rsidRDefault="004774F3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7EDC">
                    <w:rPr>
                      <w:rFonts w:ascii="Arial" w:hAnsi="Arial" w:cs="Arial"/>
                      <w:sz w:val="20"/>
                      <w:szCs w:val="20"/>
                    </w:rPr>
                    <w:t>Objetivo</w:t>
                  </w:r>
                </w:p>
              </w:tc>
              <w:tc>
                <w:tcPr>
                  <w:tcW w:w="8505" w:type="dxa"/>
                </w:tcPr>
                <w:p w14:paraId="5511AD25" w14:textId="77777777" w:rsidR="004774F3" w:rsidRPr="00FE7EDC" w:rsidRDefault="004774F3" w:rsidP="00D27721">
                  <w:pPr>
                    <w:framePr w:hSpace="141" w:wrap="around" w:vAnchor="text" w:hAnchor="margin" w:y="15"/>
                    <w:jc w:val="both"/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</w:pPr>
                  <w:r w:rsidRPr="00FE7EDC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Fortalecer la estrategia de comunicación de la empresa como agente dinamizador del sector primario en la isla</w:t>
                  </w:r>
                </w:p>
                <w:p w14:paraId="222C3EE2" w14:textId="77777777" w:rsidR="004774F3" w:rsidRPr="00FE7EDC" w:rsidRDefault="004774F3" w:rsidP="00D27721">
                  <w:pPr>
                    <w:framePr w:hSpace="141" w:wrap="around" w:vAnchor="text" w:hAnchor="margin" w:y="15"/>
                    <w:jc w:val="both"/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</w:pPr>
                  <w:r w:rsidRPr="00FE7EDC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Incrementar la colaboración con los agentes insulares del sector agroalimentario, como la Fundación Tenerife Rural.</w:t>
                  </w:r>
                </w:p>
              </w:tc>
            </w:tr>
            <w:tr w:rsidR="004774F3" w:rsidRPr="00FE7EDC" w14:paraId="5346E8B2" w14:textId="77777777" w:rsidTr="002C75AE">
              <w:tc>
                <w:tcPr>
                  <w:tcW w:w="1271" w:type="dxa"/>
                  <w:shd w:val="clear" w:color="auto" w:fill="F7CAAC" w:themeFill="accent2" w:themeFillTint="66"/>
                </w:tcPr>
                <w:p w14:paraId="2677EA88" w14:textId="77777777" w:rsidR="004774F3" w:rsidRPr="00FE7EDC" w:rsidRDefault="004774F3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7EDC">
                    <w:rPr>
                      <w:rFonts w:ascii="Arial" w:hAnsi="Arial" w:cs="Arial"/>
                      <w:sz w:val="20"/>
                      <w:szCs w:val="20"/>
                    </w:rPr>
                    <w:t>KPI</w:t>
                  </w:r>
                </w:p>
              </w:tc>
              <w:tc>
                <w:tcPr>
                  <w:tcW w:w="8505" w:type="dxa"/>
                </w:tcPr>
                <w:p w14:paraId="616D34A0" w14:textId="77777777" w:rsidR="004774F3" w:rsidRPr="00FE7EDC" w:rsidRDefault="004774F3" w:rsidP="00D27721">
                  <w:pPr>
                    <w:framePr w:hSpace="141" w:wrap="around" w:vAnchor="text" w:hAnchor="margin" w:y="15"/>
                    <w:jc w:val="both"/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</w:pPr>
                  <w:proofErr w:type="spellStart"/>
                  <w:r w:rsidRPr="00FE7EDC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Nº</w:t>
                  </w:r>
                  <w:proofErr w:type="spellEnd"/>
                  <w:r w:rsidRPr="00FE7EDC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 xml:space="preserve"> de actuaciones de dinamización o campañas realizadas por año</w:t>
                  </w:r>
                </w:p>
                <w:p w14:paraId="3588DA6F" w14:textId="77777777" w:rsidR="004774F3" w:rsidRPr="00FE7EDC" w:rsidRDefault="004774F3" w:rsidP="00D27721">
                  <w:pPr>
                    <w:framePr w:hSpace="141" w:wrap="around" w:vAnchor="text" w:hAnchor="margin" w:y="15"/>
                    <w:jc w:val="both"/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</w:pPr>
                  <w:proofErr w:type="spellStart"/>
                  <w:r w:rsidRPr="00FE7EDC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Nº</w:t>
                  </w:r>
                  <w:proofErr w:type="spellEnd"/>
                  <w:r w:rsidRPr="00FE7EDC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 xml:space="preserve"> de participantes por actuación de dinamización</w:t>
                  </w:r>
                </w:p>
                <w:p w14:paraId="5E3094E9" w14:textId="77777777" w:rsidR="004774F3" w:rsidRPr="00FE7EDC" w:rsidRDefault="004774F3" w:rsidP="00D27721">
                  <w:pPr>
                    <w:framePr w:hSpace="141" w:wrap="around" w:vAnchor="text" w:hAnchor="margin" w:y="15"/>
                    <w:jc w:val="both"/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</w:pPr>
                  <w:proofErr w:type="spellStart"/>
                  <w:r w:rsidRPr="00FE7EDC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Nº</w:t>
                  </w:r>
                  <w:proofErr w:type="spellEnd"/>
                  <w:r w:rsidRPr="00FE7EDC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 xml:space="preserve"> de acuerdos de colaboración con agentes del sector agroalimentario</w:t>
                  </w:r>
                </w:p>
                <w:p w14:paraId="08CD9E84" w14:textId="77777777" w:rsidR="004774F3" w:rsidRPr="00FE7EDC" w:rsidRDefault="004774F3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FE7EDC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Nº</w:t>
                  </w:r>
                  <w:proofErr w:type="spellEnd"/>
                  <w:r w:rsidRPr="00FE7EDC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 xml:space="preserve"> de publicaciones externas sobre actuaciones de dinamización organizadas por </w:t>
                  </w:r>
                  <w:r w:rsidRPr="00FE7EDC">
                    <w:rPr>
                      <w:rFonts w:ascii="Arial" w:eastAsia="Tahoma" w:hAnsi="Arial" w:cs="Arial"/>
                      <w:i/>
                      <w:iCs/>
                      <w:sz w:val="20"/>
                      <w:szCs w:val="20"/>
                      <w:lang w:eastAsia="es-ES_tradnl"/>
                    </w:rPr>
                    <w:t>Mercatenerife</w:t>
                  </w:r>
                </w:p>
              </w:tc>
            </w:tr>
          </w:tbl>
          <w:p w14:paraId="6259DE16" w14:textId="77777777" w:rsidR="004774F3" w:rsidRPr="002F3FEB" w:rsidRDefault="004774F3" w:rsidP="004774F3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Tablaconcuadrcula"/>
              <w:tblW w:w="9776" w:type="dxa"/>
              <w:tblLook w:val="04A0" w:firstRow="1" w:lastRow="0" w:firstColumn="1" w:lastColumn="0" w:noHBand="0" w:noVBand="1"/>
            </w:tblPr>
            <w:tblGrid>
              <w:gridCol w:w="1271"/>
              <w:gridCol w:w="8505"/>
            </w:tblGrid>
            <w:tr w:rsidR="004774F3" w:rsidRPr="00FE7EDC" w14:paraId="5997364B" w14:textId="77777777" w:rsidTr="002C75AE">
              <w:tc>
                <w:tcPr>
                  <w:tcW w:w="1271" w:type="dxa"/>
                  <w:shd w:val="clear" w:color="auto" w:fill="F7CAAC" w:themeFill="accent2" w:themeFillTint="66"/>
                </w:tcPr>
                <w:p w14:paraId="2CA9E1A3" w14:textId="04499627" w:rsidR="004774F3" w:rsidRPr="00FE7EDC" w:rsidRDefault="004774F3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FE7ED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Acción </w:t>
                  </w:r>
                  <w:r w:rsidR="001823A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5" w:type="dxa"/>
                </w:tcPr>
                <w:p w14:paraId="0C41F66C" w14:textId="77777777" w:rsidR="004774F3" w:rsidRPr="00FE7EDC" w:rsidRDefault="004774F3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FE7ED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Eventos en colaboración con nuestros </w:t>
                  </w:r>
                  <w:proofErr w:type="spellStart"/>
                  <w:r w:rsidRPr="00FE7ED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stakeholders</w:t>
                  </w:r>
                  <w:proofErr w:type="spellEnd"/>
                  <w:r w:rsidRPr="00FE7ED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774F3" w:rsidRPr="00FE7EDC" w14:paraId="08446CFF" w14:textId="77777777" w:rsidTr="002C75AE">
              <w:tc>
                <w:tcPr>
                  <w:tcW w:w="1271" w:type="dxa"/>
                  <w:shd w:val="clear" w:color="auto" w:fill="F7CAAC" w:themeFill="accent2" w:themeFillTint="66"/>
                </w:tcPr>
                <w:p w14:paraId="190AC9C5" w14:textId="77777777" w:rsidR="004774F3" w:rsidRPr="00FE7EDC" w:rsidRDefault="004774F3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7EDC">
                    <w:rPr>
                      <w:rFonts w:ascii="Arial" w:hAnsi="Arial" w:cs="Arial"/>
                      <w:sz w:val="20"/>
                      <w:szCs w:val="20"/>
                    </w:rPr>
                    <w:t>Objetivo</w:t>
                  </w:r>
                </w:p>
              </w:tc>
              <w:tc>
                <w:tcPr>
                  <w:tcW w:w="8505" w:type="dxa"/>
                </w:tcPr>
                <w:p w14:paraId="4DEB3AF8" w14:textId="77777777" w:rsidR="004774F3" w:rsidRPr="00FE7EDC" w:rsidRDefault="004774F3" w:rsidP="00D27721">
                  <w:pPr>
                    <w:framePr w:hSpace="141" w:wrap="around" w:vAnchor="text" w:hAnchor="margin" w:y="15"/>
                    <w:jc w:val="both"/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</w:pPr>
                  <w:r w:rsidRPr="00FE7EDC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Fortalecer la estrategia de comunicación de la empresa como agente dinamizador del sector primario en la isla</w:t>
                  </w:r>
                </w:p>
                <w:p w14:paraId="544222F8" w14:textId="77777777" w:rsidR="004774F3" w:rsidRPr="00FE7EDC" w:rsidRDefault="004774F3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7EDC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Incrementar la colaboración con el Cabildo Insular de Tenerife, Universidad de la Laguna y Agencias de Extensión Agraria para llevar a cabo actuaciones de apoyo a productores y de promoción del producto local</w:t>
                  </w:r>
                </w:p>
              </w:tc>
            </w:tr>
            <w:tr w:rsidR="004774F3" w:rsidRPr="00FE7EDC" w14:paraId="339940FD" w14:textId="77777777" w:rsidTr="002C75AE">
              <w:tc>
                <w:tcPr>
                  <w:tcW w:w="1271" w:type="dxa"/>
                  <w:shd w:val="clear" w:color="auto" w:fill="F7CAAC" w:themeFill="accent2" w:themeFillTint="66"/>
                </w:tcPr>
                <w:p w14:paraId="44163180" w14:textId="77777777" w:rsidR="004774F3" w:rsidRPr="00FE7EDC" w:rsidRDefault="004774F3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7EDC">
                    <w:rPr>
                      <w:rFonts w:ascii="Arial" w:hAnsi="Arial" w:cs="Arial"/>
                      <w:sz w:val="20"/>
                      <w:szCs w:val="20"/>
                    </w:rPr>
                    <w:t>KPI</w:t>
                  </w:r>
                </w:p>
              </w:tc>
              <w:tc>
                <w:tcPr>
                  <w:tcW w:w="8505" w:type="dxa"/>
                </w:tcPr>
                <w:p w14:paraId="2275E48D" w14:textId="77777777" w:rsidR="004774F3" w:rsidRPr="00FE7EDC" w:rsidRDefault="004774F3" w:rsidP="00D27721">
                  <w:pPr>
                    <w:framePr w:hSpace="141" w:wrap="around" w:vAnchor="text" w:hAnchor="margin" w:y="15"/>
                    <w:jc w:val="both"/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</w:pPr>
                  <w:proofErr w:type="spellStart"/>
                  <w:r w:rsidRPr="00FE7EDC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Nº</w:t>
                  </w:r>
                  <w:proofErr w:type="spellEnd"/>
                  <w:r w:rsidRPr="00FE7EDC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 xml:space="preserve"> de eventos organizados respecto al año anterior</w:t>
                  </w:r>
                </w:p>
                <w:p w14:paraId="1FCDC207" w14:textId="77777777" w:rsidR="004774F3" w:rsidRPr="00FE7EDC" w:rsidRDefault="004774F3" w:rsidP="00D27721">
                  <w:pPr>
                    <w:framePr w:hSpace="141" w:wrap="around" w:vAnchor="text" w:hAnchor="margin" w:y="1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FE7EDC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>Nº</w:t>
                  </w:r>
                  <w:proofErr w:type="spellEnd"/>
                  <w:r w:rsidRPr="00FE7EDC">
                    <w:rPr>
                      <w:rFonts w:ascii="Arial" w:eastAsia="Tahoma" w:hAnsi="Arial" w:cs="Arial"/>
                      <w:sz w:val="20"/>
                      <w:szCs w:val="20"/>
                      <w:lang w:eastAsia="es-ES_tradnl"/>
                    </w:rPr>
                    <w:t xml:space="preserve"> de participantes en dichos eventos</w:t>
                  </w:r>
                </w:p>
              </w:tc>
            </w:tr>
          </w:tbl>
          <w:p w14:paraId="195EF777" w14:textId="77777777" w:rsidR="004774F3" w:rsidRDefault="004774F3" w:rsidP="004774F3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B4843A1" w14:textId="77777777" w:rsidR="004774F3" w:rsidRDefault="004774F3" w:rsidP="004774F3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RENTAS QUE SE ESPERAN GENERAR.</w:t>
            </w:r>
          </w:p>
          <w:p w14:paraId="4E57688E" w14:textId="77777777" w:rsidR="004774F3" w:rsidRPr="00372086" w:rsidRDefault="004774F3" w:rsidP="004774F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</w:p>
          <w:p w14:paraId="7A56FAFC" w14:textId="7D373AAB" w:rsidR="004774F3" w:rsidRPr="0039145F" w:rsidRDefault="00A21255" w:rsidP="0039145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370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 cuanto a la estimación de cierre para </w:t>
            </w:r>
            <w:r w:rsidRPr="0039145F">
              <w:rPr>
                <w:rFonts w:ascii="Arial" w:hAnsi="Arial" w:cs="Arial"/>
                <w:color w:val="000000" w:themeColor="text1"/>
                <w:sz w:val="20"/>
                <w:szCs w:val="20"/>
              </w:rPr>
              <w:t>este año 202</w:t>
            </w:r>
            <w:r w:rsidR="005C270D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39145F" w:rsidRPr="003914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5C270D">
              <w:rPr>
                <w:rFonts w:ascii="Arial" w:hAnsi="Arial" w:cs="Arial"/>
                <w:color w:val="000000"/>
                <w:sz w:val="20"/>
                <w:szCs w:val="20"/>
              </w:rPr>
              <w:t>4.567.991,94</w:t>
            </w:r>
            <w:r w:rsidR="0039145F" w:rsidRPr="0039145F">
              <w:rPr>
                <w:rFonts w:ascii="Arial" w:hAnsi="Arial" w:cs="Arial"/>
                <w:color w:val="000000"/>
                <w:sz w:val="20"/>
                <w:szCs w:val="20"/>
              </w:rPr>
              <w:t>€)</w:t>
            </w:r>
            <w:r w:rsidRPr="003914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el importe neto de la cifra de negocios se incrementa en un </w:t>
            </w:r>
            <w:r w:rsidR="005C270D">
              <w:rPr>
                <w:rFonts w:ascii="Arial" w:hAnsi="Arial" w:cs="Arial"/>
                <w:color w:val="000000" w:themeColor="text1"/>
                <w:sz w:val="20"/>
                <w:szCs w:val="20"/>
              </w:rPr>
              <w:t>6,42</w:t>
            </w:r>
            <w:r w:rsidRPr="0039145F">
              <w:rPr>
                <w:rFonts w:ascii="Arial" w:hAnsi="Arial" w:cs="Arial"/>
                <w:color w:val="000000" w:themeColor="text1"/>
                <w:sz w:val="20"/>
                <w:szCs w:val="20"/>
              </w:rPr>
              <w:t>% respecto a las CCAA 202</w:t>
            </w:r>
            <w:r w:rsidR="005C270D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3914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9145F" w:rsidRPr="0039145F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5C270D">
              <w:rPr>
                <w:rFonts w:ascii="Arial" w:hAnsi="Arial" w:cs="Arial"/>
                <w:color w:val="000000"/>
                <w:sz w:val="20"/>
                <w:szCs w:val="20"/>
              </w:rPr>
              <w:t>4.292.042,41</w:t>
            </w:r>
            <w:r w:rsidR="0039145F" w:rsidRPr="0039145F">
              <w:rPr>
                <w:rFonts w:ascii="Arial" w:hAnsi="Arial" w:cs="Arial"/>
                <w:color w:val="000000"/>
                <w:sz w:val="20"/>
                <w:szCs w:val="20"/>
              </w:rPr>
              <w:t xml:space="preserve">€) </w:t>
            </w:r>
            <w:r w:rsidRPr="003914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 un </w:t>
            </w:r>
            <w:r w:rsidR="008C7E1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5C270D">
              <w:rPr>
                <w:rFonts w:ascii="Arial" w:hAnsi="Arial" w:cs="Arial"/>
                <w:color w:val="000000" w:themeColor="text1"/>
                <w:sz w:val="20"/>
                <w:szCs w:val="20"/>
              </w:rPr>
              <w:t>3,81</w:t>
            </w:r>
            <w:r w:rsidRPr="0039145F">
              <w:rPr>
                <w:rFonts w:ascii="Arial" w:hAnsi="Arial" w:cs="Arial"/>
                <w:color w:val="000000" w:themeColor="text1"/>
                <w:sz w:val="20"/>
                <w:szCs w:val="20"/>
              </w:rPr>
              <w:t>% respecto al PAIF aprobado para este año 202</w:t>
            </w:r>
            <w:r w:rsidR="005C270D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3914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9145F" w:rsidRPr="0039145F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5C270D">
              <w:rPr>
                <w:rFonts w:ascii="Arial" w:hAnsi="Arial" w:cs="Arial"/>
                <w:color w:val="000000"/>
                <w:sz w:val="20"/>
                <w:szCs w:val="20"/>
              </w:rPr>
              <w:t>4.400.079,01</w:t>
            </w:r>
            <w:r w:rsidR="0039145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  <w:r w:rsidR="0039145F" w:rsidRPr="0039145F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39145F">
              <w:rPr>
                <w:rFonts w:ascii="Arial" w:hAnsi="Arial" w:cs="Arial"/>
                <w:color w:val="000000" w:themeColor="text1"/>
                <w:sz w:val="20"/>
                <w:szCs w:val="20"/>
              </w:rPr>
              <w:t>. El motivo principal es el impo</w:t>
            </w:r>
            <w:r w:rsidR="00337047" w:rsidRPr="0039145F">
              <w:rPr>
                <w:rFonts w:ascii="Arial" w:hAnsi="Arial" w:cs="Arial"/>
                <w:color w:val="000000" w:themeColor="text1"/>
                <w:sz w:val="20"/>
                <w:szCs w:val="20"/>
              </w:rPr>
              <w:t>rtante</w:t>
            </w:r>
            <w:r w:rsidR="00337047" w:rsidRPr="003370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incremento en la ocupación de las naves y módulos de venta</w:t>
            </w:r>
            <w:r w:rsidR="00337047">
              <w:rPr>
                <w:rFonts w:ascii="Arial" w:hAnsi="Arial" w:cs="Arial"/>
                <w:color w:val="000000" w:themeColor="text1"/>
                <w:sz w:val="20"/>
                <w:szCs w:val="20"/>
              </w:rPr>
              <w:t>, que actualmente alcanza el</w:t>
            </w:r>
            <w:r w:rsidR="00337047" w:rsidRPr="003370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37047" w:rsidRPr="00AE573D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99%</w:t>
            </w:r>
            <w:r w:rsidR="00337047" w:rsidRPr="003370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370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 la superficie comercial en los complejos y naves 1 y 2 </w:t>
            </w:r>
            <w:r w:rsidR="00337047" w:rsidRPr="00337047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337047" w:rsidRPr="00AE573D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97%</w:t>
            </w:r>
            <w:r w:rsidR="00337047" w:rsidRPr="003370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 contemplamos NPL y oficinas).</w:t>
            </w:r>
          </w:p>
          <w:p w14:paraId="516AF9F3" w14:textId="77777777" w:rsidR="00337047" w:rsidRDefault="00337047" w:rsidP="004774F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AB91BDE" w14:textId="10046C6B" w:rsidR="00337047" w:rsidRDefault="00337047" w:rsidP="004774F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Para 202</w:t>
            </w:r>
            <w:r w:rsidR="005C270D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 estima que la cifra de </w:t>
            </w:r>
            <w:r w:rsidR="006236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negocios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siga creciendo por la aplicación del incremento del IPC en los arrendamientos</w:t>
            </w:r>
            <w:r w:rsidR="006236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mensuales</w:t>
            </w:r>
            <w:r w:rsidR="004826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9822F9">
              <w:rPr>
                <w:rFonts w:ascii="Arial" w:hAnsi="Arial" w:cs="Arial"/>
                <w:color w:val="000000" w:themeColor="text1"/>
                <w:sz w:val="20"/>
                <w:szCs w:val="20"/>
              </w:rPr>
              <w:t>aun contemplando un ligero descenso en el nivel de ocupación).</w:t>
            </w:r>
          </w:p>
          <w:p w14:paraId="340133EE" w14:textId="77777777" w:rsidR="0062366E" w:rsidRDefault="0062366E" w:rsidP="004774F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EE7167" w14:textId="43288A5F" w:rsidR="0062366E" w:rsidRDefault="0062366E" w:rsidP="004774F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Por otro lado,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destacar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que tanto en 202</w:t>
            </w:r>
            <w:r w:rsidR="00AE573D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como en 202</w:t>
            </w:r>
            <w:r w:rsidR="00AE573D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tendremos ingresos financieros por el depósito realizado de junio de 2023 a mayo de 2024 de 1.300.000€</w:t>
            </w:r>
            <w:r w:rsidR="00AE57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 de 1.000.000€ de junio 2024 a diciembre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E57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2024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 INTERSEPI</w:t>
            </w:r>
            <w:r w:rsidR="00AE573D">
              <w:rPr>
                <w:rFonts w:ascii="Arial" w:hAnsi="Arial" w:cs="Arial"/>
                <w:color w:val="000000" w:themeColor="text1"/>
                <w:sz w:val="20"/>
                <w:szCs w:val="20"/>
              </w:rPr>
              <w:t>, aprobados por nuestro Consejo de Administración. Además del previsible por 1.000.000 € de enero 2025 a junio 2025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Ingresos que serán de </w:t>
            </w:r>
            <w:r w:rsidR="00AE573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50.379,45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€ en 202</w:t>
            </w:r>
            <w:r w:rsidR="00AE573D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 de 23.062,90€ en 202</w:t>
            </w:r>
            <w:r w:rsidR="00AE573D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8BDD370" w14:textId="77777777" w:rsidR="00AE573D" w:rsidRDefault="00AE573D" w:rsidP="004774F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C5A93D8" w14:textId="77777777" w:rsidR="00AE573D" w:rsidRDefault="00AE573D" w:rsidP="004774F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ABA8213" w14:textId="77777777" w:rsidR="00AE573D" w:rsidRPr="00337047" w:rsidRDefault="00AE573D" w:rsidP="004774F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E79CDD" w14:textId="77777777" w:rsidR="004774F3" w:rsidRDefault="004774F3" w:rsidP="004774F3">
            <w:pPr>
              <w:pStyle w:val="Default"/>
            </w:pPr>
          </w:p>
          <w:p w14:paraId="5179CC49" w14:textId="77777777" w:rsidR="004774F3" w:rsidRDefault="004774F3" w:rsidP="004774F3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 SITUACIÓN DE LA ENTIDAD EN EL ÁMBITO ECONÓMICO – FINANCIERO.</w:t>
            </w:r>
          </w:p>
          <w:p w14:paraId="489EEC0E" w14:textId="77777777" w:rsidR="004774F3" w:rsidRDefault="004774F3" w:rsidP="004774F3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3D29F45" w14:textId="77777777" w:rsidR="004774F3" w:rsidRDefault="004774F3" w:rsidP="004774F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5.1. Evolución y proyección del resultado de la Cuenta de Pérdidas y Ganancias. </w:t>
            </w:r>
          </w:p>
          <w:p w14:paraId="1234C6CD" w14:textId="77777777" w:rsidR="004774F3" w:rsidRDefault="004774F3" w:rsidP="004774F3">
            <w:pPr>
              <w:pStyle w:val="Default"/>
              <w:rPr>
                <w:sz w:val="20"/>
                <w:szCs w:val="20"/>
              </w:rPr>
            </w:pPr>
          </w:p>
          <w:p w14:paraId="0DBB6AD0" w14:textId="1F828DB8" w:rsidR="004774F3" w:rsidRPr="00640140" w:rsidRDefault="004774F3" w:rsidP="00FB735F">
            <w:pPr>
              <w:pStyle w:val="Defaul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0140">
              <w:rPr>
                <w:sz w:val="20"/>
                <w:szCs w:val="20"/>
              </w:rPr>
              <w:t xml:space="preserve"> </w:t>
            </w:r>
            <w:r w:rsidR="00ED40AA" w:rsidRPr="00640140">
              <w:rPr>
                <w:sz w:val="20"/>
                <w:szCs w:val="20"/>
              </w:rPr>
              <w:t xml:space="preserve">  </w:t>
            </w:r>
            <w:r w:rsidRPr="00640140">
              <w:rPr>
                <w:sz w:val="20"/>
                <w:szCs w:val="20"/>
              </w:rPr>
              <w:t>a) Evolución del resultado hasta el último ejercicio cerrado (20</w:t>
            </w:r>
            <w:r w:rsidR="00AE573D">
              <w:rPr>
                <w:sz w:val="20"/>
                <w:szCs w:val="20"/>
              </w:rPr>
              <w:t>23</w:t>
            </w:r>
            <w:r w:rsidRPr="00640140">
              <w:rPr>
                <w:sz w:val="20"/>
                <w:szCs w:val="20"/>
              </w:rPr>
              <w:t>).</w:t>
            </w:r>
          </w:p>
          <w:p w14:paraId="137210EC" w14:textId="77777777" w:rsidR="00665582" w:rsidRDefault="00665582" w:rsidP="004774F3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667752F7" w14:textId="15BDE073" w:rsidR="004774F3" w:rsidRDefault="00360800" w:rsidP="004774F3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Según se expresa en las CCAA de 202</w:t>
            </w:r>
            <w:r w:rsidR="00AE573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 en cuanto a la evolución del resultado, e</w:t>
            </w:r>
            <w:r w:rsidR="0039145F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 mismo se </w:t>
            </w:r>
            <w:r w:rsidR="00AE573D">
              <w:rPr>
                <w:sz w:val="20"/>
                <w:szCs w:val="20"/>
              </w:rPr>
              <w:t xml:space="preserve">ha aumentado </w:t>
            </w:r>
            <w:r w:rsidR="00AE573D" w:rsidRPr="00360800">
              <w:rPr>
                <w:color w:val="000000" w:themeColor="text1"/>
                <w:sz w:val="20"/>
                <w:szCs w:val="20"/>
              </w:rPr>
              <w:t>un</w:t>
            </w:r>
            <w:r w:rsidRPr="00360800">
              <w:rPr>
                <w:color w:val="000000" w:themeColor="text1"/>
                <w:sz w:val="20"/>
                <w:szCs w:val="20"/>
              </w:rPr>
              <w:t xml:space="preserve"> </w:t>
            </w:r>
            <w:r w:rsidR="00AE573D">
              <w:rPr>
                <w:color w:val="000000" w:themeColor="text1"/>
                <w:sz w:val="20"/>
                <w:szCs w:val="20"/>
              </w:rPr>
              <w:t xml:space="preserve">302,10 </w:t>
            </w:r>
            <w:r w:rsidRPr="00360800">
              <w:rPr>
                <w:color w:val="000000" w:themeColor="text1"/>
                <w:sz w:val="20"/>
                <w:szCs w:val="20"/>
              </w:rPr>
              <w:t xml:space="preserve">%, es decir, en </w:t>
            </w:r>
            <w:r w:rsidR="00AE573D">
              <w:rPr>
                <w:color w:val="000000" w:themeColor="text1"/>
                <w:sz w:val="20"/>
                <w:szCs w:val="20"/>
              </w:rPr>
              <w:t xml:space="preserve">3.773.447,58 </w:t>
            </w:r>
            <w:r w:rsidRPr="00360800">
              <w:rPr>
                <w:color w:val="000000" w:themeColor="text1"/>
                <w:sz w:val="20"/>
                <w:szCs w:val="20"/>
              </w:rPr>
              <w:t>€, respecto a las CCAA 202</w:t>
            </w:r>
            <w:r w:rsidR="00E11C7F">
              <w:rPr>
                <w:color w:val="000000" w:themeColor="text1"/>
                <w:sz w:val="20"/>
                <w:szCs w:val="20"/>
              </w:rPr>
              <w:t>2.</w:t>
            </w:r>
          </w:p>
          <w:p w14:paraId="3D8F0455" w14:textId="2A5D13CD" w:rsidR="00360800" w:rsidRPr="00360800" w:rsidRDefault="00360800" w:rsidP="004774F3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Este incremento viene motivado por un aumento en la ocupación de las naves (mayores ingresos por arrendamientos)</w:t>
            </w:r>
            <w:r w:rsidR="0039145F">
              <w:rPr>
                <w:color w:val="000000" w:themeColor="text1"/>
                <w:sz w:val="20"/>
                <w:szCs w:val="20"/>
              </w:rPr>
              <w:t xml:space="preserve"> en 202</w:t>
            </w:r>
            <w:r w:rsidR="00E11C7F">
              <w:rPr>
                <w:color w:val="000000" w:themeColor="text1"/>
                <w:sz w:val="20"/>
                <w:szCs w:val="20"/>
              </w:rPr>
              <w:t>3</w:t>
            </w:r>
            <w:r w:rsidR="0039145F">
              <w:rPr>
                <w:color w:val="000000" w:themeColor="text1"/>
                <w:sz w:val="20"/>
                <w:szCs w:val="20"/>
              </w:rPr>
              <w:t xml:space="preserve"> respecto a 202</w:t>
            </w:r>
            <w:r w:rsidR="00E11C7F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="00E11C7F">
              <w:rPr>
                <w:color w:val="000000" w:themeColor="text1"/>
                <w:sz w:val="20"/>
                <w:szCs w:val="20"/>
              </w:rPr>
              <w:t>y de los ingresos extraordinarios motivados por la incorporación de las Naves del Complejo C al terminar el Derecho de Superficie.</w:t>
            </w:r>
          </w:p>
          <w:p w14:paraId="0AB6CD1D" w14:textId="77777777" w:rsidR="004774F3" w:rsidRDefault="004774F3" w:rsidP="004774F3">
            <w:pPr>
              <w:pStyle w:val="Default"/>
              <w:rPr>
                <w:color w:val="FF0000"/>
                <w:sz w:val="20"/>
                <w:szCs w:val="20"/>
              </w:rPr>
            </w:pPr>
          </w:p>
          <w:p w14:paraId="21E77CEC" w14:textId="7076E8A0" w:rsidR="004774F3" w:rsidRDefault="004774F3" w:rsidP="004774F3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b) Cierre previsto a 31/12/202</w:t>
            </w:r>
            <w:r w:rsidR="00AE573D">
              <w:rPr>
                <w:sz w:val="20"/>
                <w:szCs w:val="20"/>
              </w:rPr>
              <w:t>4</w:t>
            </w:r>
          </w:p>
          <w:p w14:paraId="01AA0FD1" w14:textId="0D132879" w:rsidR="006B0747" w:rsidRDefault="006B0747" w:rsidP="004774F3">
            <w:pPr>
              <w:pStyle w:val="Default"/>
              <w:rPr>
                <w:sz w:val="20"/>
                <w:szCs w:val="20"/>
              </w:rPr>
            </w:pPr>
          </w:p>
          <w:p w14:paraId="4972DDA4" w14:textId="516A40F5" w:rsidR="006B0747" w:rsidRDefault="006B0747" w:rsidP="006B074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principales motivos de las desviaciones del resultado previsto en el PAIF aprobado respecto </w:t>
            </w:r>
            <w:r w:rsidR="0039145F">
              <w:rPr>
                <w:sz w:val="20"/>
                <w:szCs w:val="20"/>
              </w:rPr>
              <w:t>a la estimación de cierre</w:t>
            </w:r>
            <w:r>
              <w:rPr>
                <w:sz w:val="20"/>
                <w:szCs w:val="20"/>
              </w:rPr>
              <w:t xml:space="preserve"> so</w:t>
            </w:r>
            <w:r w:rsidR="00A418F8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:</w:t>
            </w:r>
          </w:p>
          <w:p w14:paraId="137776EE" w14:textId="77777777" w:rsidR="006B0747" w:rsidRDefault="006B0747" w:rsidP="004774F3">
            <w:pPr>
              <w:pStyle w:val="Default"/>
              <w:rPr>
                <w:sz w:val="20"/>
                <w:szCs w:val="20"/>
              </w:rPr>
            </w:pPr>
          </w:p>
          <w:p w14:paraId="2D1B87A3" w14:textId="1B0E7EE7" w:rsidR="006B0747" w:rsidRDefault="00E11C7F" w:rsidP="006B0747">
            <w:pPr>
              <w:pStyle w:val="Default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aumento de la cifra de negocios 167.912,93 € (+3,8%) del cierre 2024 con respecto a la previsión 2024 PAIF por el aumento de la ocupación.</w:t>
            </w:r>
          </w:p>
          <w:p w14:paraId="589A2AB1" w14:textId="77777777" w:rsidR="0039145F" w:rsidRDefault="0039145F" w:rsidP="0039145F">
            <w:pPr>
              <w:pStyle w:val="Default"/>
              <w:ind w:left="720"/>
              <w:jc w:val="both"/>
              <w:rPr>
                <w:sz w:val="20"/>
                <w:szCs w:val="20"/>
              </w:rPr>
            </w:pPr>
          </w:p>
          <w:p w14:paraId="48F66589" w14:textId="241F3843" w:rsidR="0039145F" w:rsidRDefault="0039145F" w:rsidP="006B0747">
            <w:pPr>
              <w:pStyle w:val="Default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otro lado, </w:t>
            </w:r>
            <w:r w:rsidR="00E11C7F">
              <w:rPr>
                <w:sz w:val="20"/>
                <w:szCs w:val="20"/>
              </w:rPr>
              <w:t xml:space="preserve">en el capítulo de gastos, hay un aumento de </w:t>
            </w:r>
            <w:r w:rsidR="0097638C">
              <w:rPr>
                <w:sz w:val="20"/>
                <w:szCs w:val="20"/>
              </w:rPr>
              <w:t>la seguridad social de un 13,83% del cierre 2024 con respecto al PAIF 2024, ya que en 2024 han existido varias bajas médicas del Personal que dan como resultado un coste menor.</w:t>
            </w:r>
          </w:p>
          <w:p w14:paraId="40E456C3" w14:textId="77777777" w:rsidR="004774F3" w:rsidRDefault="004774F3" w:rsidP="004774F3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2E13F4C" w14:textId="2C755964" w:rsidR="004774F3" w:rsidRPr="00372086" w:rsidRDefault="00ED40AA" w:rsidP="004774F3">
            <w:pPr>
              <w:pStyle w:val="Default"/>
              <w:numPr>
                <w:ilvl w:val="0"/>
                <w:numId w:val="4"/>
              </w:num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774F3" w:rsidRPr="00372086">
              <w:rPr>
                <w:sz w:val="20"/>
                <w:szCs w:val="20"/>
              </w:rPr>
              <w:t>c) Resultado previsto a 31/12/2024</w:t>
            </w:r>
          </w:p>
          <w:p w14:paraId="664612E2" w14:textId="77777777" w:rsidR="004774F3" w:rsidRPr="00CC5B7B" w:rsidRDefault="004774F3" w:rsidP="004774F3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  <w:p w14:paraId="7BA5881E" w14:textId="61755949" w:rsidR="009B51E6" w:rsidRDefault="00405995" w:rsidP="004774F3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CC5B7B">
              <w:rPr>
                <w:color w:val="000000" w:themeColor="text1"/>
                <w:sz w:val="20"/>
                <w:szCs w:val="20"/>
              </w:rPr>
              <w:t xml:space="preserve">El resultado esperado para 2024 será de </w:t>
            </w:r>
            <w:r w:rsidR="00892EC6">
              <w:rPr>
                <w:color w:val="000000" w:themeColor="text1"/>
                <w:sz w:val="20"/>
                <w:szCs w:val="20"/>
              </w:rPr>
              <w:t xml:space="preserve">1.718.047,42 </w:t>
            </w:r>
            <w:r w:rsidRPr="00CC5B7B">
              <w:rPr>
                <w:color w:val="000000" w:themeColor="text1"/>
                <w:sz w:val="20"/>
                <w:szCs w:val="20"/>
              </w:rPr>
              <w:t xml:space="preserve">€, es decir, </w:t>
            </w:r>
            <w:r w:rsidR="00892EC6">
              <w:rPr>
                <w:color w:val="000000" w:themeColor="text1"/>
                <w:sz w:val="20"/>
                <w:szCs w:val="20"/>
              </w:rPr>
              <w:t xml:space="preserve">185.513,07 </w:t>
            </w:r>
            <w:r w:rsidR="00CC5B7B" w:rsidRPr="00CC5B7B">
              <w:rPr>
                <w:color w:val="000000" w:themeColor="text1"/>
                <w:sz w:val="20"/>
                <w:szCs w:val="20"/>
              </w:rPr>
              <w:t xml:space="preserve">€ </w:t>
            </w:r>
            <w:r w:rsidR="00892EC6">
              <w:rPr>
                <w:color w:val="000000" w:themeColor="text1"/>
                <w:sz w:val="20"/>
                <w:szCs w:val="20"/>
              </w:rPr>
              <w:t>más</w:t>
            </w:r>
            <w:r w:rsidR="00CC5B7B" w:rsidRPr="00CC5B7B">
              <w:rPr>
                <w:color w:val="000000" w:themeColor="text1"/>
                <w:sz w:val="20"/>
                <w:szCs w:val="20"/>
              </w:rPr>
              <w:t xml:space="preserve"> que el estimado para el cierre de este año 202</w:t>
            </w:r>
            <w:r w:rsidR="00892EC6">
              <w:rPr>
                <w:color w:val="000000" w:themeColor="text1"/>
                <w:sz w:val="20"/>
                <w:szCs w:val="20"/>
              </w:rPr>
              <w:t>4</w:t>
            </w:r>
            <w:r w:rsidR="00CC5B7B" w:rsidRPr="00CC5B7B">
              <w:rPr>
                <w:color w:val="000000" w:themeColor="text1"/>
                <w:sz w:val="20"/>
                <w:szCs w:val="20"/>
              </w:rPr>
              <w:t xml:space="preserve"> de </w:t>
            </w:r>
            <w:r w:rsidR="00892EC6">
              <w:rPr>
                <w:color w:val="000000" w:themeColor="text1"/>
                <w:sz w:val="20"/>
                <w:szCs w:val="20"/>
              </w:rPr>
              <w:t xml:space="preserve">1.532.534,35 </w:t>
            </w:r>
            <w:r w:rsidR="00CC5B7B" w:rsidRPr="00CC5B7B">
              <w:rPr>
                <w:color w:val="000000" w:themeColor="text1"/>
                <w:sz w:val="20"/>
                <w:szCs w:val="20"/>
              </w:rPr>
              <w:t>€.</w:t>
            </w:r>
            <w:r w:rsidR="009B51E6">
              <w:rPr>
                <w:color w:val="000000" w:themeColor="text1"/>
                <w:sz w:val="20"/>
                <w:szCs w:val="20"/>
              </w:rPr>
              <w:t xml:space="preserve"> </w:t>
            </w:r>
            <w:r w:rsidR="00892EC6">
              <w:rPr>
                <w:color w:val="000000" w:themeColor="text1"/>
                <w:sz w:val="20"/>
                <w:szCs w:val="20"/>
              </w:rPr>
              <w:t>Este,</w:t>
            </w:r>
            <w:r w:rsidR="009B51E6" w:rsidRPr="009B51E6">
              <w:rPr>
                <w:color w:val="000000" w:themeColor="text1"/>
                <w:sz w:val="20"/>
                <w:szCs w:val="20"/>
              </w:rPr>
              <w:t xml:space="preserve"> se debe principalmente al aumento en la </w:t>
            </w:r>
            <w:r w:rsidR="00892EC6">
              <w:rPr>
                <w:color w:val="000000" w:themeColor="text1"/>
                <w:sz w:val="20"/>
                <w:szCs w:val="20"/>
              </w:rPr>
              <w:t xml:space="preserve">cifra de negocio y </w:t>
            </w:r>
            <w:r w:rsidR="00D75E56">
              <w:rPr>
                <w:color w:val="000000" w:themeColor="text1"/>
                <w:sz w:val="20"/>
                <w:szCs w:val="20"/>
              </w:rPr>
              <w:t>de los ingresos financieros.</w:t>
            </w:r>
          </w:p>
          <w:p w14:paraId="7E798EE4" w14:textId="6E18B6A6" w:rsidR="009B51E6" w:rsidRPr="005C73A0" w:rsidRDefault="009B51E6" w:rsidP="004774F3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5C73A0">
              <w:rPr>
                <w:color w:val="000000" w:themeColor="text1"/>
                <w:sz w:val="20"/>
                <w:szCs w:val="20"/>
              </w:rPr>
              <w:t>Ya explicado en el punto 4 el incremento en la cifra de negocios</w:t>
            </w:r>
            <w:r w:rsidR="00FD0BF2">
              <w:rPr>
                <w:color w:val="000000" w:themeColor="text1"/>
                <w:sz w:val="20"/>
                <w:szCs w:val="20"/>
              </w:rPr>
              <w:t>.</w:t>
            </w:r>
            <w:r w:rsidRPr="005C73A0">
              <w:rPr>
                <w:color w:val="000000" w:themeColor="text1"/>
                <w:sz w:val="20"/>
                <w:szCs w:val="20"/>
              </w:rPr>
              <w:t xml:space="preserve"> </w:t>
            </w:r>
            <w:r w:rsidR="00FD0BF2">
              <w:rPr>
                <w:color w:val="000000" w:themeColor="text1"/>
                <w:sz w:val="20"/>
                <w:szCs w:val="20"/>
              </w:rPr>
              <w:t>E</w:t>
            </w:r>
            <w:r w:rsidRPr="005C73A0">
              <w:rPr>
                <w:color w:val="000000" w:themeColor="text1"/>
                <w:sz w:val="20"/>
                <w:szCs w:val="20"/>
              </w:rPr>
              <w:t>n cuanto a las variaciones en los gastos:</w:t>
            </w:r>
          </w:p>
          <w:p w14:paraId="1ACA6314" w14:textId="77777777" w:rsidR="009B51E6" w:rsidRPr="005C73A0" w:rsidRDefault="009B51E6" w:rsidP="004774F3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44EF069" w14:textId="684CF32D" w:rsidR="009B51E6" w:rsidRPr="007C0FB6" w:rsidRDefault="009B51E6" w:rsidP="005C73A0">
            <w:pPr>
              <w:pStyle w:val="Default"/>
              <w:numPr>
                <w:ilvl w:val="0"/>
                <w:numId w:val="6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7C0FB6">
              <w:rPr>
                <w:color w:val="000000" w:themeColor="text1"/>
                <w:sz w:val="20"/>
                <w:szCs w:val="20"/>
              </w:rPr>
              <w:t xml:space="preserve">El importe en servicios exteriores </w:t>
            </w:r>
            <w:r w:rsidR="005C73A0" w:rsidRPr="007C0FB6">
              <w:rPr>
                <w:color w:val="000000" w:themeColor="text1"/>
                <w:sz w:val="20"/>
                <w:szCs w:val="20"/>
              </w:rPr>
              <w:t xml:space="preserve">para 2024 </w:t>
            </w:r>
            <w:r w:rsidRPr="007C0FB6">
              <w:rPr>
                <w:color w:val="000000" w:themeColor="text1"/>
                <w:sz w:val="20"/>
                <w:szCs w:val="20"/>
              </w:rPr>
              <w:t xml:space="preserve">aumenta en un </w:t>
            </w:r>
            <w:r w:rsidR="00D75E56">
              <w:rPr>
                <w:color w:val="000000" w:themeColor="text1"/>
                <w:sz w:val="20"/>
                <w:szCs w:val="20"/>
              </w:rPr>
              <w:t>3,12</w:t>
            </w:r>
            <w:r w:rsidR="005C73A0" w:rsidRPr="007C0FB6">
              <w:rPr>
                <w:color w:val="000000" w:themeColor="text1"/>
                <w:sz w:val="20"/>
                <w:szCs w:val="20"/>
              </w:rPr>
              <w:t>% (</w:t>
            </w:r>
            <w:r w:rsidR="00D75E56">
              <w:rPr>
                <w:color w:val="000000" w:themeColor="text1"/>
                <w:sz w:val="20"/>
                <w:szCs w:val="20"/>
              </w:rPr>
              <w:t xml:space="preserve">41.222,89 </w:t>
            </w:r>
            <w:r w:rsidR="005C73A0" w:rsidRPr="007C0FB6">
              <w:rPr>
                <w:color w:val="000000" w:themeColor="text1"/>
                <w:sz w:val="20"/>
                <w:szCs w:val="20"/>
              </w:rPr>
              <w:t>€) respecto a la estimación de cierre para 202</w:t>
            </w:r>
            <w:r w:rsidR="00D75E56">
              <w:rPr>
                <w:color w:val="000000" w:themeColor="text1"/>
                <w:sz w:val="20"/>
                <w:szCs w:val="20"/>
              </w:rPr>
              <w:t>4</w:t>
            </w:r>
            <w:r w:rsidR="005C73A0" w:rsidRPr="007C0FB6">
              <w:rPr>
                <w:color w:val="000000" w:themeColor="text1"/>
                <w:sz w:val="20"/>
                <w:szCs w:val="20"/>
              </w:rPr>
              <w:t xml:space="preserve">, debido principalmente a </w:t>
            </w:r>
            <w:r w:rsidR="00D75E56">
              <w:rPr>
                <w:color w:val="000000" w:themeColor="text1"/>
                <w:sz w:val="20"/>
                <w:szCs w:val="20"/>
              </w:rPr>
              <w:t>los gastos derivados del Aniversario 50 años de Mercatenerife.</w:t>
            </w:r>
          </w:p>
          <w:p w14:paraId="1B6F2BAB" w14:textId="77777777" w:rsidR="00665582" w:rsidRDefault="00665582" w:rsidP="00665582">
            <w:pPr>
              <w:pStyle w:val="Default"/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91EDF5D" w14:textId="645C853E" w:rsidR="009B51E6" w:rsidRDefault="009B51E6" w:rsidP="00E1378B">
            <w:pPr>
              <w:pStyle w:val="Default"/>
              <w:numPr>
                <w:ilvl w:val="0"/>
                <w:numId w:val="6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5C73A0">
              <w:rPr>
                <w:color w:val="000000" w:themeColor="text1"/>
                <w:sz w:val="20"/>
                <w:szCs w:val="20"/>
              </w:rPr>
              <w:t>La cifra de amortización se actualiza como consecuencia de las inversiones previstas.</w:t>
            </w:r>
          </w:p>
          <w:p w14:paraId="7B7CFF58" w14:textId="77777777" w:rsidR="00D75E56" w:rsidRDefault="00D75E56" w:rsidP="00D75E56">
            <w:pPr>
              <w:pStyle w:val="Prrafodelista"/>
              <w:rPr>
                <w:color w:val="000000" w:themeColor="text1"/>
                <w:sz w:val="20"/>
                <w:szCs w:val="20"/>
              </w:rPr>
            </w:pPr>
          </w:p>
          <w:p w14:paraId="5C09B54C" w14:textId="3E23D8FF" w:rsidR="00D75E56" w:rsidRDefault="00D75E56" w:rsidP="00E1378B">
            <w:pPr>
              <w:pStyle w:val="Default"/>
              <w:numPr>
                <w:ilvl w:val="0"/>
                <w:numId w:val="6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La cifra de Imputación de Subvenciones de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Capital,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pasa de 26.790,64 euros del PAIF 2023 a 19.790,64 € a la estimación de cierre de 2024, al devolver la Subvención de Capital por importe de 350.000 euros.</w:t>
            </w:r>
          </w:p>
          <w:p w14:paraId="4139890C" w14:textId="77777777" w:rsidR="00D75E56" w:rsidRDefault="00D75E56" w:rsidP="00D75E56">
            <w:pPr>
              <w:pStyle w:val="Prrafodelista"/>
              <w:rPr>
                <w:color w:val="000000" w:themeColor="text1"/>
                <w:sz w:val="20"/>
                <w:szCs w:val="20"/>
              </w:rPr>
            </w:pPr>
          </w:p>
          <w:p w14:paraId="77277ED4" w14:textId="77777777" w:rsidR="00D75E56" w:rsidRDefault="00D75E56" w:rsidP="00D75E56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2C11C30" w14:textId="77777777" w:rsidR="00D75E56" w:rsidRDefault="00D75E56" w:rsidP="00D75E56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35640A7" w14:textId="77777777" w:rsidR="00D75E56" w:rsidRDefault="00D75E56" w:rsidP="00D75E56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E720292" w14:textId="77777777" w:rsidR="00D75E56" w:rsidRDefault="00D75E56" w:rsidP="00D75E56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CEA69FE" w14:textId="77777777" w:rsidR="00D75E56" w:rsidRDefault="00D75E56" w:rsidP="00D75E56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44E0F2F" w14:textId="77777777" w:rsidR="00D75E56" w:rsidRDefault="00D75E56" w:rsidP="00D75E56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828A2FB" w14:textId="77777777" w:rsidR="00D75E56" w:rsidRDefault="00D75E56" w:rsidP="00D75E56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1CFEADC" w14:textId="77777777" w:rsidR="00D75E56" w:rsidRPr="005C73A0" w:rsidRDefault="00D75E56" w:rsidP="00D75E56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CBA0125" w14:textId="77777777" w:rsidR="004774F3" w:rsidRPr="00372086" w:rsidRDefault="004774F3" w:rsidP="00E1378B">
            <w:pPr>
              <w:pStyle w:val="Default"/>
              <w:rPr>
                <w:color w:val="FF0000"/>
                <w:sz w:val="20"/>
                <w:szCs w:val="20"/>
              </w:rPr>
            </w:pPr>
          </w:p>
          <w:p w14:paraId="36CACBCC" w14:textId="77777777" w:rsidR="004774F3" w:rsidRPr="00665582" w:rsidRDefault="004774F3" w:rsidP="00E1378B">
            <w:pPr>
              <w:pStyle w:val="Default"/>
              <w:numPr>
                <w:ilvl w:val="0"/>
                <w:numId w:val="4"/>
              </w:numPr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   </w:t>
            </w:r>
            <w:r w:rsidRPr="00372086">
              <w:rPr>
                <w:b/>
                <w:bCs/>
                <w:sz w:val="20"/>
                <w:szCs w:val="20"/>
              </w:rPr>
              <w:t xml:space="preserve">5.2. Principales magnitudes de las cuentas de Balance. </w:t>
            </w:r>
          </w:p>
          <w:p w14:paraId="0C88D717" w14:textId="77777777" w:rsidR="00665582" w:rsidRPr="00372086" w:rsidRDefault="00665582" w:rsidP="00E1378B">
            <w:pPr>
              <w:pStyle w:val="Default"/>
              <w:numPr>
                <w:ilvl w:val="0"/>
                <w:numId w:val="4"/>
              </w:numPr>
              <w:rPr>
                <w:color w:val="FF0000"/>
                <w:sz w:val="20"/>
                <w:szCs w:val="20"/>
              </w:rPr>
            </w:pPr>
          </w:p>
          <w:p w14:paraId="5EAB3625" w14:textId="10C771A1" w:rsidR="00B94CE4" w:rsidRDefault="00B94CE4" w:rsidP="00665582">
            <w:pPr>
              <w:pStyle w:val="Defaul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cuanto al ACTIVO las variaciones significativas son:</w:t>
            </w:r>
          </w:p>
          <w:p w14:paraId="271D4A19" w14:textId="77777777" w:rsidR="00665582" w:rsidRPr="00665582" w:rsidRDefault="00665582" w:rsidP="00665582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04F1E09B" w14:textId="37B86A62" w:rsidR="00B94CE4" w:rsidRPr="00303D4D" w:rsidRDefault="00B94CE4" w:rsidP="00B94CE4">
            <w:pPr>
              <w:pStyle w:val="Default"/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303D4D">
              <w:rPr>
                <w:i/>
                <w:iCs/>
                <w:sz w:val="20"/>
                <w:szCs w:val="20"/>
                <w:u w:val="single"/>
              </w:rPr>
              <w:t xml:space="preserve">ACTIVO </w:t>
            </w:r>
            <w:r w:rsidR="00F11D99">
              <w:rPr>
                <w:i/>
                <w:iCs/>
                <w:sz w:val="20"/>
                <w:szCs w:val="20"/>
                <w:u w:val="single"/>
              </w:rPr>
              <w:t xml:space="preserve">NO </w:t>
            </w:r>
            <w:r w:rsidRPr="00303D4D">
              <w:rPr>
                <w:i/>
                <w:iCs/>
                <w:sz w:val="20"/>
                <w:szCs w:val="20"/>
                <w:u w:val="single"/>
              </w:rPr>
              <w:t>CORRIENTE</w:t>
            </w:r>
          </w:p>
          <w:p w14:paraId="283B6610" w14:textId="3CD79A10" w:rsidR="005C73A0" w:rsidRDefault="00303D4D" w:rsidP="004774F3">
            <w:pPr>
              <w:pStyle w:val="Defaul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 </w:t>
            </w:r>
            <w:r w:rsidR="00E549A2">
              <w:rPr>
                <w:sz w:val="20"/>
                <w:szCs w:val="20"/>
              </w:rPr>
              <w:t xml:space="preserve">Una disminución neta de </w:t>
            </w:r>
            <w:r w:rsidR="0047753C">
              <w:rPr>
                <w:sz w:val="20"/>
                <w:szCs w:val="20"/>
              </w:rPr>
              <w:t xml:space="preserve">9.900 </w:t>
            </w:r>
            <w:r>
              <w:rPr>
                <w:sz w:val="20"/>
                <w:szCs w:val="20"/>
              </w:rPr>
              <w:t>€ en aplicaciones informáticas respecto a cierre de 202</w:t>
            </w:r>
            <w:r w:rsidR="0047753C">
              <w:rPr>
                <w:sz w:val="20"/>
                <w:szCs w:val="20"/>
              </w:rPr>
              <w:t xml:space="preserve">4por la amortización de </w:t>
            </w:r>
            <w:r>
              <w:rPr>
                <w:sz w:val="20"/>
                <w:szCs w:val="20"/>
              </w:rPr>
              <w:t xml:space="preserve">las inversiones previstas en este </w:t>
            </w:r>
            <w:r w:rsidR="0047753C">
              <w:rPr>
                <w:sz w:val="20"/>
                <w:szCs w:val="20"/>
              </w:rPr>
              <w:t>apartado.</w:t>
            </w:r>
          </w:p>
          <w:p w14:paraId="14AEA371" w14:textId="51BA1FBB" w:rsidR="00B8549C" w:rsidRDefault="00303D4D" w:rsidP="00303D4D">
            <w:pPr>
              <w:pStyle w:val="Defaul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 En terrenos y construcciones hay un incremento </w:t>
            </w:r>
            <w:r w:rsidR="008C7E1E">
              <w:rPr>
                <w:sz w:val="20"/>
                <w:szCs w:val="20"/>
              </w:rPr>
              <w:t xml:space="preserve">neto </w:t>
            </w:r>
            <w:r>
              <w:rPr>
                <w:sz w:val="20"/>
                <w:szCs w:val="20"/>
              </w:rPr>
              <w:t xml:space="preserve">en </w:t>
            </w:r>
            <w:r w:rsidR="0047753C">
              <w:rPr>
                <w:sz w:val="20"/>
                <w:szCs w:val="20"/>
              </w:rPr>
              <w:t xml:space="preserve">2.436.549,26 </w:t>
            </w:r>
            <w:r>
              <w:rPr>
                <w:sz w:val="20"/>
                <w:szCs w:val="20"/>
              </w:rPr>
              <w:t>€ respecto al PAIF 202</w:t>
            </w:r>
            <w:r w:rsidR="0047753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="0047753C">
              <w:rPr>
                <w:sz w:val="20"/>
                <w:szCs w:val="20"/>
              </w:rPr>
              <w:t xml:space="preserve">por las inversiones realizadas en 2024 y 2025 relativas a Impermeabilización, Protecciones laterales de muelles y </w:t>
            </w:r>
            <w:r w:rsidR="00B8549C">
              <w:rPr>
                <w:sz w:val="20"/>
                <w:szCs w:val="20"/>
              </w:rPr>
              <w:t>Reforma de baños.</w:t>
            </w:r>
          </w:p>
          <w:p w14:paraId="38C06ADE" w14:textId="6F78574D" w:rsidR="005C73A0" w:rsidRPr="00303D4D" w:rsidRDefault="00B8549C" w:rsidP="00303D4D">
            <w:pPr>
              <w:pStyle w:val="Defaul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También hay un aumento en Instalaciones Técnicas y otro inmovilizado material, por las inversiones previstas en este apartado, realizadas en 2024, (accesibilidad</w:t>
            </w:r>
            <w:r w:rsidR="00303D4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 y en 2025, entre otras señalética del recinto, Luminarias zonas comunes.</w:t>
            </w:r>
          </w:p>
          <w:p w14:paraId="233F8DDE" w14:textId="46A9DF84" w:rsidR="00B94CE4" w:rsidRPr="00303D4D" w:rsidRDefault="00B94CE4" w:rsidP="004774F3">
            <w:pPr>
              <w:pStyle w:val="Default"/>
              <w:numPr>
                <w:ilvl w:val="0"/>
                <w:numId w:val="4"/>
              </w:numPr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303D4D">
              <w:rPr>
                <w:i/>
                <w:iCs/>
                <w:sz w:val="20"/>
                <w:szCs w:val="20"/>
                <w:u w:val="single"/>
              </w:rPr>
              <w:t>ACTIVO CORRIENTE</w:t>
            </w:r>
          </w:p>
          <w:p w14:paraId="1AD2506F" w14:textId="3361FACE" w:rsidR="00B94CE4" w:rsidRDefault="00303D4D" w:rsidP="004774F3">
            <w:pPr>
              <w:pStyle w:val="Defaul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  <w:r w:rsidR="00F11D99">
              <w:rPr>
                <w:sz w:val="20"/>
                <w:szCs w:val="20"/>
              </w:rPr>
              <w:t xml:space="preserve"> </w:t>
            </w:r>
            <w:r w:rsidR="008667AB">
              <w:rPr>
                <w:sz w:val="20"/>
                <w:szCs w:val="20"/>
              </w:rPr>
              <w:t xml:space="preserve">En la partida de </w:t>
            </w:r>
            <w:r w:rsidR="00F11D99" w:rsidRPr="00F11D99">
              <w:rPr>
                <w:sz w:val="20"/>
                <w:szCs w:val="20"/>
              </w:rPr>
              <w:t>Clientes por ventas y prestaciones de servicios</w:t>
            </w:r>
            <w:r w:rsidR="008667AB">
              <w:rPr>
                <w:sz w:val="20"/>
                <w:szCs w:val="20"/>
              </w:rPr>
              <w:t xml:space="preserve"> el </w:t>
            </w:r>
            <w:r w:rsidR="000622AA">
              <w:rPr>
                <w:sz w:val="20"/>
                <w:szCs w:val="20"/>
              </w:rPr>
              <w:t xml:space="preserve">saldo previsto a cierre de 2024 </w:t>
            </w:r>
            <w:r w:rsidR="00B01A1F">
              <w:rPr>
                <w:sz w:val="20"/>
                <w:szCs w:val="20"/>
              </w:rPr>
              <w:t xml:space="preserve">aumenta en 3.970,40 euros con respecto </w:t>
            </w:r>
            <w:r w:rsidR="00A67EEB">
              <w:rPr>
                <w:sz w:val="20"/>
                <w:szCs w:val="20"/>
              </w:rPr>
              <w:t>al PAIF aprobado</w:t>
            </w:r>
            <w:r w:rsidR="00B01A1F">
              <w:rPr>
                <w:sz w:val="20"/>
                <w:szCs w:val="20"/>
              </w:rPr>
              <w:t>,</w:t>
            </w:r>
            <w:r w:rsidR="00A67EEB">
              <w:rPr>
                <w:sz w:val="20"/>
                <w:szCs w:val="20"/>
              </w:rPr>
              <w:t xml:space="preserve"> por una estimación de </w:t>
            </w:r>
            <w:r w:rsidR="00B01A1F">
              <w:rPr>
                <w:sz w:val="20"/>
                <w:szCs w:val="20"/>
              </w:rPr>
              <w:t xml:space="preserve">retraso de pago por parte de un </w:t>
            </w:r>
            <w:r w:rsidR="00D27721">
              <w:rPr>
                <w:sz w:val="20"/>
                <w:szCs w:val="20"/>
              </w:rPr>
              <w:t>cliente.</w:t>
            </w:r>
            <w:r w:rsidR="00A67EEB">
              <w:rPr>
                <w:sz w:val="20"/>
                <w:szCs w:val="20"/>
              </w:rPr>
              <w:t xml:space="preserve"> Respecto a la previsión de cierre de 202</w:t>
            </w:r>
            <w:r w:rsidR="00B01A1F">
              <w:rPr>
                <w:sz w:val="20"/>
                <w:szCs w:val="20"/>
              </w:rPr>
              <w:t>5</w:t>
            </w:r>
            <w:r w:rsidR="00A67EEB">
              <w:rPr>
                <w:sz w:val="20"/>
                <w:szCs w:val="20"/>
              </w:rPr>
              <w:t>, se mantiene el importe solo incrementado por la estimación del IPC del 3%.</w:t>
            </w:r>
          </w:p>
          <w:p w14:paraId="2DC34CBF" w14:textId="7E57103B" w:rsidR="00303D4D" w:rsidRDefault="00303D4D" w:rsidP="004774F3">
            <w:pPr>
              <w:pStyle w:val="Defaul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  <w:r w:rsidR="00F11D99">
              <w:rPr>
                <w:sz w:val="20"/>
                <w:szCs w:val="20"/>
              </w:rPr>
              <w:t xml:space="preserve"> </w:t>
            </w:r>
            <w:r w:rsidR="00F11D99" w:rsidRPr="00F11D99">
              <w:rPr>
                <w:sz w:val="20"/>
                <w:szCs w:val="20"/>
              </w:rPr>
              <w:t>Resto de otros créditos con las administraciones públicas</w:t>
            </w:r>
            <w:r w:rsidR="00B05264">
              <w:rPr>
                <w:sz w:val="20"/>
                <w:szCs w:val="20"/>
              </w:rPr>
              <w:t>.</w:t>
            </w:r>
            <w:r w:rsidR="000622AA">
              <w:rPr>
                <w:sz w:val="20"/>
                <w:szCs w:val="20"/>
              </w:rPr>
              <w:t xml:space="preserve"> </w:t>
            </w:r>
            <w:r w:rsidR="00B05264">
              <w:rPr>
                <w:sz w:val="20"/>
                <w:szCs w:val="20"/>
              </w:rPr>
              <w:t>Son entregas</w:t>
            </w:r>
            <w:r w:rsidR="000622AA">
              <w:rPr>
                <w:sz w:val="20"/>
                <w:szCs w:val="20"/>
              </w:rPr>
              <w:t xml:space="preserve"> a cuenta a la AEAT por el Impuesto sobre Sociedades, que se basan en el resultado contable-fiscal</w:t>
            </w:r>
            <w:r w:rsidR="00A67EEB">
              <w:rPr>
                <w:sz w:val="20"/>
                <w:szCs w:val="20"/>
              </w:rPr>
              <w:t>, a medida que el resultado es mayor, las entregas a cuentas lo son en la misma medida.</w:t>
            </w:r>
            <w:r w:rsidR="00B01A1F">
              <w:rPr>
                <w:sz w:val="20"/>
                <w:szCs w:val="20"/>
              </w:rPr>
              <w:t xml:space="preserve"> También tiene relevancia las retenciones sobre los ingresos financieros de los depósitos constituidos, que aumentan esta partida.</w:t>
            </w:r>
          </w:p>
          <w:p w14:paraId="791792E5" w14:textId="4886BDD1" w:rsidR="00303D4D" w:rsidRPr="000622AA" w:rsidRDefault="00303D4D" w:rsidP="004774F3">
            <w:pPr>
              <w:pStyle w:val="Defaul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0622AA">
              <w:rPr>
                <w:sz w:val="20"/>
                <w:szCs w:val="20"/>
              </w:rPr>
              <w:t xml:space="preserve">   -</w:t>
            </w:r>
            <w:r w:rsidR="00F11D99" w:rsidRPr="000622AA">
              <w:rPr>
                <w:sz w:val="20"/>
                <w:szCs w:val="20"/>
              </w:rPr>
              <w:t xml:space="preserve"> Valores representativos de deuda</w:t>
            </w:r>
            <w:r w:rsidR="000622AA" w:rsidRPr="000622AA">
              <w:rPr>
                <w:sz w:val="20"/>
                <w:szCs w:val="20"/>
              </w:rPr>
              <w:t>, refleja en</w:t>
            </w:r>
            <w:r w:rsidR="000622AA">
              <w:rPr>
                <w:sz w:val="20"/>
                <w:szCs w:val="20"/>
              </w:rPr>
              <w:t xml:space="preserve"> 2023 la inversión de renta en fondos SEPI que se cancelan en junio 2024.</w:t>
            </w:r>
            <w:r w:rsidR="00B01A1F">
              <w:rPr>
                <w:sz w:val="20"/>
                <w:szCs w:val="20"/>
              </w:rPr>
              <w:t xml:space="preserve">En 2025 se pretende realizar un </w:t>
            </w:r>
            <w:r w:rsidR="00D27721">
              <w:rPr>
                <w:sz w:val="20"/>
                <w:szCs w:val="20"/>
              </w:rPr>
              <w:t>depósito,</w:t>
            </w:r>
            <w:r w:rsidR="00B01A1F">
              <w:rPr>
                <w:sz w:val="20"/>
                <w:szCs w:val="20"/>
              </w:rPr>
              <w:t xml:space="preserve"> pero con vencimiento junio, dado el alto nivel de necesidad de tesorería para realizar las inversiones.</w:t>
            </w:r>
          </w:p>
          <w:p w14:paraId="1B5CC547" w14:textId="1CE03527" w:rsidR="00B94CE4" w:rsidRPr="001D5AFA" w:rsidRDefault="00F11D99" w:rsidP="000C6E7D">
            <w:pPr>
              <w:pStyle w:val="Defaul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1D5AFA">
              <w:rPr>
                <w:sz w:val="20"/>
                <w:szCs w:val="20"/>
              </w:rPr>
              <w:t xml:space="preserve">   - Tesorería</w:t>
            </w:r>
            <w:r w:rsidR="000622AA" w:rsidRPr="001D5AFA">
              <w:rPr>
                <w:sz w:val="20"/>
                <w:szCs w:val="20"/>
              </w:rPr>
              <w:t xml:space="preserve">, </w:t>
            </w:r>
            <w:r w:rsidR="00A67EEB" w:rsidRPr="001D5AFA">
              <w:rPr>
                <w:sz w:val="20"/>
                <w:szCs w:val="20"/>
              </w:rPr>
              <w:t>e</w:t>
            </w:r>
            <w:r w:rsidR="000622AA" w:rsidRPr="001D5AFA">
              <w:rPr>
                <w:sz w:val="20"/>
                <w:szCs w:val="20"/>
              </w:rPr>
              <w:t>l PAIF 202</w:t>
            </w:r>
            <w:r w:rsidR="00B8549C" w:rsidRPr="001D5AFA">
              <w:rPr>
                <w:sz w:val="20"/>
                <w:szCs w:val="20"/>
              </w:rPr>
              <w:t>4</w:t>
            </w:r>
            <w:r w:rsidR="000622AA" w:rsidRPr="001D5AFA">
              <w:rPr>
                <w:sz w:val="20"/>
                <w:szCs w:val="20"/>
              </w:rPr>
              <w:t xml:space="preserve"> aprobado refleja una tesorería menor (</w:t>
            </w:r>
            <w:r w:rsidR="001D5AFA" w:rsidRPr="001D5AFA">
              <w:rPr>
                <w:sz w:val="20"/>
                <w:szCs w:val="20"/>
              </w:rPr>
              <w:t>421.614,35</w:t>
            </w:r>
            <w:r w:rsidR="000622AA" w:rsidRPr="001D5AFA">
              <w:rPr>
                <w:sz w:val="20"/>
                <w:szCs w:val="20"/>
              </w:rPr>
              <w:t xml:space="preserve"> €) que la del cierre previsto de 202</w:t>
            </w:r>
            <w:r w:rsidR="001D5AFA" w:rsidRPr="001D5AFA">
              <w:rPr>
                <w:sz w:val="20"/>
                <w:szCs w:val="20"/>
              </w:rPr>
              <w:t>4</w:t>
            </w:r>
            <w:r w:rsidR="000622AA" w:rsidRPr="001D5AFA">
              <w:rPr>
                <w:sz w:val="20"/>
                <w:szCs w:val="20"/>
              </w:rPr>
              <w:t xml:space="preserve"> (</w:t>
            </w:r>
            <w:r w:rsidR="001D5AFA" w:rsidRPr="001D5AFA">
              <w:rPr>
                <w:sz w:val="20"/>
                <w:szCs w:val="20"/>
              </w:rPr>
              <w:t>2.511.431,51</w:t>
            </w:r>
            <w:r w:rsidR="000622AA" w:rsidRPr="001D5AFA">
              <w:rPr>
                <w:sz w:val="20"/>
                <w:szCs w:val="20"/>
              </w:rPr>
              <w:t xml:space="preserve"> €) debido a la no realización de todas las inversiones previstas para 202</w:t>
            </w:r>
            <w:r w:rsidR="001D5AFA" w:rsidRPr="001D5AFA">
              <w:rPr>
                <w:sz w:val="20"/>
                <w:szCs w:val="20"/>
              </w:rPr>
              <w:t>4 y la devolución de la Subvención por importe de 350.000 euros.</w:t>
            </w:r>
            <w:r w:rsidR="001D5AFA">
              <w:rPr>
                <w:sz w:val="20"/>
                <w:szCs w:val="20"/>
              </w:rPr>
              <w:t xml:space="preserve"> </w:t>
            </w:r>
            <w:r w:rsidR="00A67EEB" w:rsidRPr="001D5AFA">
              <w:rPr>
                <w:sz w:val="20"/>
                <w:szCs w:val="20"/>
              </w:rPr>
              <w:t>E</w:t>
            </w:r>
            <w:r w:rsidR="000622AA" w:rsidRPr="001D5AFA">
              <w:rPr>
                <w:sz w:val="20"/>
                <w:szCs w:val="20"/>
              </w:rPr>
              <w:t>n cuanto a 202</w:t>
            </w:r>
            <w:r w:rsidR="001D5AFA" w:rsidRPr="001D5AFA">
              <w:rPr>
                <w:sz w:val="20"/>
                <w:szCs w:val="20"/>
              </w:rPr>
              <w:t>5</w:t>
            </w:r>
            <w:r w:rsidR="000622AA" w:rsidRPr="001D5AFA">
              <w:rPr>
                <w:sz w:val="20"/>
                <w:szCs w:val="20"/>
              </w:rPr>
              <w:t xml:space="preserve"> (</w:t>
            </w:r>
            <w:r w:rsidR="001D5AFA" w:rsidRPr="001D5AFA">
              <w:rPr>
                <w:sz w:val="20"/>
                <w:szCs w:val="20"/>
              </w:rPr>
              <w:t>1.218.395,27</w:t>
            </w:r>
            <w:r w:rsidR="008B4BAC" w:rsidRPr="001D5AFA">
              <w:rPr>
                <w:sz w:val="20"/>
                <w:szCs w:val="20"/>
              </w:rPr>
              <w:t xml:space="preserve"> </w:t>
            </w:r>
            <w:r w:rsidR="000622AA" w:rsidRPr="001D5AFA">
              <w:rPr>
                <w:sz w:val="20"/>
                <w:szCs w:val="20"/>
              </w:rPr>
              <w:t xml:space="preserve">€) es </w:t>
            </w:r>
            <w:r w:rsidR="001D5AFA" w:rsidRPr="001D5AFA">
              <w:rPr>
                <w:sz w:val="20"/>
                <w:szCs w:val="20"/>
              </w:rPr>
              <w:t>menor</w:t>
            </w:r>
            <w:r w:rsidR="000622AA" w:rsidRPr="001D5AFA">
              <w:rPr>
                <w:sz w:val="20"/>
                <w:szCs w:val="20"/>
              </w:rPr>
              <w:t xml:space="preserve"> que las anteriores </w:t>
            </w:r>
            <w:r w:rsidR="00AD7424" w:rsidRPr="001D5AFA">
              <w:rPr>
                <w:sz w:val="20"/>
                <w:szCs w:val="20"/>
              </w:rPr>
              <w:t xml:space="preserve">por </w:t>
            </w:r>
            <w:r w:rsidR="0048265A" w:rsidRPr="001D5AFA">
              <w:rPr>
                <w:sz w:val="20"/>
                <w:szCs w:val="20"/>
              </w:rPr>
              <w:t>la</w:t>
            </w:r>
            <w:r w:rsidR="001D5AFA">
              <w:rPr>
                <w:sz w:val="20"/>
                <w:szCs w:val="20"/>
              </w:rPr>
              <w:t>s inversiones a realizar en este ejercicio</w:t>
            </w:r>
          </w:p>
          <w:p w14:paraId="6BE81A59" w14:textId="57B7F4DC" w:rsidR="00B94CE4" w:rsidRDefault="00B94CE4" w:rsidP="00B94CE4">
            <w:pPr>
              <w:pStyle w:val="Default"/>
              <w:jc w:val="both"/>
              <w:rPr>
                <w:sz w:val="20"/>
                <w:szCs w:val="20"/>
              </w:rPr>
            </w:pPr>
            <w:r w:rsidRPr="00B94CE4">
              <w:rPr>
                <w:sz w:val="20"/>
                <w:szCs w:val="20"/>
              </w:rPr>
              <w:t xml:space="preserve">En cuanto al </w:t>
            </w:r>
            <w:r>
              <w:rPr>
                <w:sz w:val="20"/>
                <w:szCs w:val="20"/>
              </w:rPr>
              <w:t>PASIVO y PATRIMONIO NETO</w:t>
            </w:r>
            <w:r w:rsidRPr="00B94CE4">
              <w:rPr>
                <w:sz w:val="20"/>
                <w:szCs w:val="20"/>
              </w:rPr>
              <w:t xml:space="preserve"> las variaciones significativas son:</w:t>
            </w:r>
          </w:p>
          <w:p w14:paraId="06753CD4" w14:textId="77777777" w:rsidR="00B94CE4" w:rsidRDefault="00B94CE4" w:rsidP="00B94C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78A2F99B" w14:textId="502F0BF7" w:rsidR="00B94CE4" w:rsidRPr="00303D4D" w:rsidRDefault="00B94CE4" w:rsidP="00B94CE4">
            <w:pPr>
              <w:pStyle w:val="Default"/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303D4D">
              <w:rPr>
                <w:i/>
                <w:iCs/>
                <w:sz w:val="20"/>
                <w:szCs w:val="20"/>
                <w:u w:val="single"/>
              </w:rPr>
              <w:t xml:space="preserve">PASIVO </w:t>
            </w:r>
            <w:r w:rsidR="00F11D99">
              <w:rPr>
                <w:i/>
                <w:iCs/>
                <w:sz w:val="20"/>
                <w:szCs w:val="20"/>
                <w:u w:val="single"/>
              </w:rPr>
              <w:t xml:space="preserve">NO </w:t>
            </w:r>
            <w:r w:rsidRPr="00303D4D">
              <w:rPr>
                <w:i/>
                <w:iCs/>
                <w:sz w:val="20"/>
                <w:szCs w:val="20"/>
                <w:u w:val="single"/>
              </w:rPr>
              <w:t>CORRIENTE</w:t>
            </w:r>
          </w:p>
          <w:p w14:paraId="5A5D0217" w14:textId="77777777" w:rsidR="00F11D99" w:rsidRDefault="00F11D99" w:rsidP="00F11D9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- Destacar que desde 2022 las deudas con entidades de crédito son inexistentes (0€).</w:t>
            </w:r>
          </w:p>
          <w:p w14:paraId="12D84221" w14:textId="6C8B983C" w:rsidR="00F11D99" w:rsidRPr="00303D4D" w:rsidRDefault="00F11D99" w:rsidP="00B94CE4">
            <w:pPr>
              <w:pStyle w:val="Default"/>
              <w:jc w:val="both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- Otros pasivos financieros a largo plazo</w:t>
            </w:r>
            <w:r w:rsidR="0048265A">
              <w:rPr>
                <w:sz w:val="20"/>
                <w:szCs w:val="20"/>
              </w:rPr>
              <w:t xml:space="preserve">, se corresponde con las fianzas depositadas por los clientes. En el ejercicio 2024, </w:t>
            </w:r>
            <w:r w:rsidR="00E20FB3">
              <w:rPr>
                <w:sz w:val="20"/>
                <w:szCs w:val="20"/>
              </w:rPr>
              <w:t xml:space="preserve">aumentan </w:t>
            </w:r>
            <w:r w:rsidR="0048265A">
              <w:rPr>
                <w:sz w:val="20"/>
                <w:szCs w:val="20"/>
              </w:rPr>
              <w:t xml:space="preserve">en un </w:t>
            </w:r>
            <w:r w:rsidR="00E20FB3">
              <w:rPr>
                <w:sz w:val="20"/>
                <w:szCs w:val="20"/>
              </w:rPr>
              <w:t>9,27</w:t>
            </w:r>
            <w:r w:rsidR="0048265A">
              <w:rPr>
                <w:sz w:val="20"/>
                <w:szCs w:val="20"/>
              </w:rPr>
              <w:t xml:space="preserve">% por </w:t>
            </w:r>
            <w:r w:rsidR="00E20FB3">
              <w:rPr>
                <w:sz w:val="20"/>
                <w:szCs w:val="20"/>
              </w:rPr>
              <w:t>el aumento de la ocupación y de la actualización de las fianzas con ocasión de los renovaciones de contratos. Para 2025 la cifra se ha aumentado un 2,5%.</w:t>
            </w:r>
          </w:p>
          <w:p w14:paraId="12473140" w14:textId="16A316F0" w:rsidR="00B94CE4" w:rsidRPr="00303D4D" w:rsidRDefault="00B94CE4" w:rsidP="00B94CE4">
            <w:pPr>
              <w:pStyle w:val="Default"/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303D4D">
              <w:rPr>
                <w:i/>
                <w:iCs/>
                <w:sz w:val="20"/>
                <w:szCs w:val="20"/>
                <w:u w:val="single"/>
              </w:rPr>
              <w:t>PASIVO CORRIENTE</w:t>
            </w:r>
          </w:p>
          <w:p w14:paraId="20E26F54" w14:textId="6499664D" w:rsidR="00F11D99" w:rsidRDefault="00F11D99" w:rsidP="00F11D9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 </w:t>
            </w:r>
            <w:r w:rsidRPr="00F11D99">
              <w:rPr>
                <w:sz w:val="20"/>
                <w:szCs w:val="20"/>
              </w:rPr>
              <w:t>Destacar que desde 202</w:t>
            </w:r>
            <w:r w:rsidR="00E20FB3">
              <w:rPr>
                <w:sz w:val="20"/>
                <w:szCs w:val="20"/>
              </w:rPr>
              <w:t>4</w:t>
            </w:r>
            <w:r w:rsidRPr="00F11D99">
              <w:rPr>
                <w:sz w:val="20"/>
                <w:szCs w:val="20"/>
              </w:rPr>
              <w:t xml:space="preserve"> las deudas con entidades de crédito son inexistentes (0€).</w:t>
            </w:r>
          </w:p>
          <w:p w14:paraId="29D5AA8E" w14:textId="3F396934" w:rsidR="00F11D99" w:rsidRDefault="00F11D99" w:rsidP="00F11D9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 Otros pasivos financieros</w:t>
            </w:r>
            <w:r w:rsidR="00AD7424">
              <w:rPr>
                <w:sz w:val="20"/>
                <w:szCs w:val="20"/>
              </w:rPr>
              <w:t>, la cantidad del cierre previsto 202</w:t>
            </w:r>
            <w:r w:rsidR="00E20FB3">
              <w:rPr>
                <w:sz w:val="20"/>
                <w:szCs w:val="20"/>
              </w:rPr>
              <w:t>4</w:t>
            </w:r>
            <w:r w:rsidR="00AD7424">
              <w:rPr>
                <w:sz w:val="20"/>
                <w:szCs w:val="20"/>
              </w:rPr>
              <w:t>, refleja las retenciones por obra de asfaltado, (30.962,55 €</w:t>
            </w:r>
            <w:r w:rsidR="00665582">
              <w:rPr>
                <w:sz w:val="20"/>
                <w:szCs w:val="20"/>
              </w:rPr>
              <w:t xml:space="preserve">, </w:t>
            </w:r>
            <w:r w:rsidR="00E20FB3">
              <w:rPr>
                <w:sz w:val="20"/>
                <w:szCs w:val="20"/>
              </w:rPr>
              <w:t>no fueron devueltas en 2024 ya que su oferta en la licitación aumentaba el periodo de garantía. El aumento del cierre 2024 y del PAIF 2025 se debe a nuevas fianzas por licitaciones con vencimiento a un año.</w:t>
            </w:r>
          </w:p>
          <w:p w14:paraId="04FCD68B" w14:textId="1AD66018" w:rsidR="00F11D99" w:rsidRDefault="00F11D99" w:rsidP="00F11D9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 Acreedores varios</w:t>
            </w:r>
            <w:r w:rsidR="00AD7424">
              <w:rPr>
                <w:sz w:val="20"/>
                <w:szCs w:val="20"/>
              </w:rPr>
              <w:t>, en el PAIF 202</w:t>
            </w:r>
            <w:r w:rsidR="009E7C84">
              <w:rPr>
                <w:sz w:val="20"/>
                <w:szCs w:val="20"/>
              </w:rPr>
              <w:t>4</w:t>
            </w:r>
            <w:r w:rsidR="00AD7424">
              <w:rPr>
                <w:sz w:val="20"/>
                <w:szCs w:val="20"/>
              </w:rPr>
              <w:t xml:space="preserve"> aprobado, se estableció un importe de saldo pendiente de pago de facturas de servicios y de obras a realizar (</w:t>
            </w:r>
            <w:r w:rsidR="009E7C84">
              <w:rPr>
                <w:sz w:val="20"/>
                <w:szCs w:val="20"/>
              </w:rPr>
              <w:t>75.473,03</w:t>
            </w:r>
            <w:r w:rsidR="00AD7424">
              <w:rPr>
                <w:sz w:val="20"/>
                <w:szCs w:val="20"/>
              </w:rPr>
              <w:t xml:space="preserve"> €), en la estimación de cierre de 202</w:t>
            </w:r>
            <w:r w:rsidR="009E7C84">
              <w:rPr>
                <w:sz w:val="20"/>
                <w:szCs w:val="20"/>
              </w:rPr>
              <w:t>4</w:t>
            </w:r>
            <w:r w:rsidR="00AD7424">
              <w:rPr>
                <w:sz w:val="20"/>
                <w:szCs w:val="20"/>
              </w:rPr>
              <w:t xml:space="preserve"> </w:t>
            </w:r>
            <w:r w:rsidR="009822F9">
              <w:rPr>
                <w:sz w:val="20"/>
                <w:szCs w:val="20"/>
              </w:rPr>
              <w:t>se prevé que el saldo a 31 de diciembre sea exclusivamente</w:t>
            </w:r>
            <w:r w:rsidR="008B4BAC">
              <w:rPr>
                <w:sz w:val="20"/>
                <w:szCs w:val="20"/>
              </w:rPr>
              <w:t>, tanto</w:t>
            </w:r>
            <w:r w:rsidR="009822F9">
              <w:rPr>
                <w:sz w:val="20"/>
                <w:szCs w:val="20"/>
              </w:rPr>
              <w:t xml:space="preserve"> de los servicios licitados a tal fecha y a abonar en el mes siguiente</w:t>
            </w:r>
            <w:r w:rsidR="008B4BAC">
              <w:rPr>
                <w:sz w:val="20"/>
                <w:szCs w:val="20"/>
              </w:rPr>
              <w:t>, como</w:t>
            </w:r>
            <w:r w:rsidR="00AD7424">
              <w:rPr>
                <w:sz w:val="20"/>
                <w:szCs w:val="20"/>
              </w:rPr>
              <w:t xml:space="preserve"> de aquellos servicios por contratos menores calculados por el histórico de facturas.</w:t>
            </w:r>
            <w:r w:rsidR="008B4BAC">
              <w:rPr>
                <w:sz w:val="20"/>
                <w:szCs w:val="20"/>
              </w:rPr>
              <w:t xml:space="preserve"> Para 202</w:t>
            </w:r>
            <w:r w:rsidR="009E7C84">
              <w:rPr>
                <w:sz w:val="20"/>
                <w:szCs w:val="20"/>
              </w:rPr>
              <w:t>5</w:t>
            </w:r>
            <w:r w:rsidR="008B4BAC">
              <w:rPr>
                <w:sz w:val="20"/>
                <w:szCs w:val="20"/>
              </w:rPr>
              <w:t xml:space="preserve"> la previsión se </w:t>
            </w:r>
            <w:r w:rsidR="009E7C84">
              <w:rPr>
                <w:sz w:val="20"/>
                <w:szCs w:val="20"/>
              </w:rPr>
              <w:t>aumenta conforme a IPC.</w:t>
            </w:r>
          </w:p>
          <w:p w14:paraId="72BF3483" w14:textId="12F08D5D" w:rsidR="00F11D99" w:rsidRPr="00303D4D" w:rsidRDefault="00F11D99" w:rsidP="00F11D9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 Otras deudas con Administraciones Públicas</w:t>
            </w:r>
            <w:r w:rsidR="00AD7424">
              <w:rPr>
                <w:sz w:val="20"/>
                <w:szCs w:val="20"/>
              </w:rPr>
              <w:t xml:space="preserve">, </w:t>
            </w:r>
            <w:r w:rsidR="008B4BAC">
              <w:rPr>
                <w:sz w:val="20"/>
                <w:szCs w:val="20"/>
              </w:rPr>
              <w:t>es mayor en 2024 por la previsión de aumento</w:t>
            </w:r>
            <w:r w:rsidR="00C776E8">
              <w:rPr>
                <w:sz w:val="20"/>
                <w:szCs w:val="20"/>
              </w:rPr>
              <w:t>, principalmente,</w:t>
            </w:r>
            <w:r w:rsidR="008B4BAC">
              <w:rPr>
                <w:sz w:val="20"/>
                <w:szCs w:val="20"/>
              </w:rPr>
              <w:t xml:space="preserve"> </w:t>
            </w:r>
            <w:r w:rsidR="00C776E8">
              <w:rPr>
                <w:sz w:val="20"/>
                <w:szCs w:val="20"/>
              </w:rPr>
              <w:t>del IRPF (por incremento en los gastos de personal)</w:t>
            </w:r>
            <w:r w:rsidR="009E7C84">
              <w:rPr>
                <w:sz w:val="20"/>
                <w:szCs w:val="20"/>
              </w:rPr>
              <w:t xml:space="preserve"> y de servicios de profesionales independientes con ocasión de las obras y </w:t>
            </w:r>
            <w:proofErr w:type="gramStart"/>
            <w:r w:rsidR="009E7C84">
              <w:rPr>
                <w:sz w:val="20"/>
                <w:szCs w:val="20"/>
              </w:rPr>
              <w:t>proyectos  a</w:t>
            </w:r>
            <w:proofErr w:type="gramEnd"/>
            <w:r w:rsidR="009E7C84">
              <w:rPr>
                <w:sz w:val="20"/>
                <w:szCs w:val="20"/>
              </w:rPr>
              <w:t xml:space="preserve"> realizar que </w:t>
            </w:r>
            <w:r w:rsidR="009E7C84">
              <w:rPr>
                <w:sz w:val="20"/>
                <w:szCs w:val="20"/>
              </w:rPr>
              <w:lastRenderedPageBreak/>
              <w:t>necesitarán de la intervención de profesionales en redacción de proyectos y dirección de obras.</w:t>
            </w:r>
          </w:p>
          <w:p w14:paraId="4BF4CD16" w14:textId="15976786" w:rsidR="00B94CE4" w:rsidRPr="00665582" w:rsidRDefault="00F11D99" w:rsidP="00B94C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776E8">
              <w:rPr>
                <w:sz w:val="20"/>
                <w:szCs w:val="20"/>
              </w:rPr>
              <w:t>.</w:t>
            </w:r>
          </w:p>
          <w:p w14:paraId="4739336B" w14:textId="46C57BB7" w:rsidR="00B94CE4" w:rsidRPr="00303D4D" w:rsidRDefault="00B94CE4" w:rsidP="00B94CE4">
            <w:pPr>
              <w:pStyle w:val="Default"/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303D4D">
              <w:rPr>
                <w:i/>
                <w:iCs/>
                <w:sz w:val="20"/>
                <w:szCs w:val="20"/>
                <w:u w:val="single"/>
              </w:rPr>
              <w:t>PATRIMONIO NETO</w:t>
            </w:r>
          </w:p>
          <w:p w14:paraId="16260F04" w14:textId="2C2BF15E" w:rsidR="00B94CE4" w:rsidRDefault="00303D4D" w:rsidP="00B94C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  <w:r w:rsidR="00D156C5">
              <w:rPr>
                <w:sz w:val="20"/>
                <w:szCs w:val="20"/>
              </w:rPr>
              <w:t xml:space="preserve"> Fondos propios</w:t>
            </w:r>
            <w:r w:rsidR="0004274E">
              <w:rPr>
                <w:sz w:val="20"/>
                <w:szCs w:val="20"/>
              </w:rPr>
              <w:t xml:space="preserve">, </w:t>
            </w:r>
            <w:r w:rsidR="00640140">
              <w:rPr>
                <w:sz w:val="20"/>
                <w:szCs w:val="20"/>
              </w:rPr>
              <w:t>en 2024 c</w:t>
            </w:r>
            <w:r w:rsidR="0004274E">
              <w:rPr>
                <w:sz w:val="20"/>
                <w:szCs w:val="20"/>
              </w:rPr>
              <w:t xml:space="preserve">recen por el incremento del resultado </w:t>
            </w:r>
            <w:r w:rsidR="005B1D9E">
              <w:rPr>
                <w:sz w:val="20"/>
                <w:szCs w:val="20"/>
              </w:rPr>
              <w:t>d</w:t>
            </w:r>
            <w:r w:rsidR="0004274E">
              <w:rPr>
                <w:sz w:val="20"/>
                <w:szCs w:val="20"/>
              </w:rPr>
              <w:t>el ejercicio 2023</w:t>
            </w:r>
            <w:r w:rsidR="005B1D9E">
              <w:rPr>
                <w:sz w:val="20"/>
                <w:szCs w:val="20"/>
              </w:rPr>
              <w:t>.</w:t>
            </w:r>
          </w:p>
          <w:p w14:paraId="0B79B191" w14:textId="0F8CC1B6" w:rsidR="0004274E" w:rsidRDefault="00303D4D" w:rsidP="0004274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  <w:r w:rsidR="00D156C5">
              <w:rPr>
                <w:sz w:val="20"/>
                <w:szCs w:val="20"/>
              </w:rPr>
              <w:t xml:space="preserve"> Reservas</w:t>
            </w:r>
            <w:r w:rsidR="0004274E">
              <w:rPr>
                <w:sz w:val="20"/>
                <w:szCs w:val="20"/>
              </w:rPr>
              <w:t xml:space="preserve">, crecen por la distribución del resultado </w:t>
            </w:r>
            <w:r w:rsidR="00640140">
              <w:rPr>
                <w:sz w:val="20"/>
                <w:szCs w:val="20"/>
              </w:rPr>
              <w:t xml:space="preserve">(según la política de Dividendos llevada a cabo en los dos últimos ejercicios y la previsión del mantenimiento de </w:t>
            </w:r>
            <w:proofErr w:type="gramStart"/>
            <w:r w:rsidR="00640140">
              <w:rPr>
                <w:sz w:val="20"/>
                <w:szCs w:val="20"/>
              </w:rPr>
              <w:t>la misma</w:t>
            </w:r>
            <w:proofErr w:type="gramEnd"/>
            <w:r w:rsidR="00640140">
              <w:rPr>
                <w:sz w:val="20"/>
                <w:szCs w:val="20"/>
              </w:rPr>
              <w:t xml:space="preserve"> para este ejercicio 202</w:t>
            </w:r>
            <w:r w:rsidR="005B1D9E">
              <w:rPr>
                <w:sz w:val="20"/>
                <w:szCs w:val="20"/>
              </w:rPr>
              <w:t>4</w:t>
            </w:r>
            <w:r w:rsidR="00640140">
              <w:rPr>
                <w:sz w:val="20"/>
                <w:szCs w:val="20"/>
              </w:rPr>
              <w:t xml:space="preserve"> y el siguiente 202</w:t>
            </w:r>
            <w:r w:rsidR="005B1D9E">
              <w:rPr>
                <w:sz w:val="20"/>
                <w:szCs w:val="20"/>
              </w:rPr>
              <w:t>5</w:t>
            </w:r>
            <w:r w:rsidR="00640140">
              <w:rPr>
                <w:sz w:val="20"/>
                <w:szCs w:val="20"/>
              </w:rPr>
              <w:t>,</w:t>
            </w:r>
            <w:r w:rsidR="0004274E">
              <w:rPr>
                <w:sz w:val="20"/>
                <w:szCs w:val="20"/>
              </w:rPr>
              <w:t xml:space="preserve"> </w:t>
            </w:r>
            <w:r w:rsidR="00640140">
              <w:rPr>
                <w:sz w:val="20"/>
                <w:szCs w:val="20"/>
              </w:rPr>
              <w:t xml:space="preserve">se </w:t>
            </w:r>
            <w:r w:rsidR="0004274E">
              <w:rPr>
                <w:sz w:val="20"/>
                <w:szCs w:val="20"/>
              </w:rPr>
              <w:t xml:space="preserve">destina una cantidad fija de </w:t>
            </w:r>
            <w:r w:rsidR="005B1D9E">
              <w:rPr>
                <w:sz w:val="20"/>
                <w:szCs w:val="20"/>
              </w:rPr>
              <w:t>1.000.000</w:t>
            </w:r>
            <w:r w:rsidR="0004274E">
              <w:rPr>
                <w:sz w:val="20"/>
                <w:szCs w:val="20"/>
              </w:rPr>
              <w:t xml:space="preserve"> euros</w:t>
            </w:r>
            <w:r w:rsidR="00640140">
              <w:rPr>
                <w:sz w:val="20"/>
                <w:szCs w:val="20"/>
              </w:rPr>
              <w:t>. E</w:t>
            </w:r>
            <w:r w:rsidR="0004274E">
              <w:rPr>
                <w:sz w:val="20"/>
                <w:szCs w:val="20"/>
              </w:rPr>
              <w:t xml:space="preserve">l resto </w:t>
            </w:r>
            <w:r w:rsidR="00640140">
              <w:rPr>
                <w:sz w:val="20"/>
                <w:szCs w:val="20"/>
              </w:rPr>
              <w:t xml:space="preserve">del resultado se destina </w:t>
            </w:r>
            <w:r w:rsidR="0004274E">
              <w:rPr>
                <w:sz w:val="20"/>
                <w:szCs w:val="20"/>
              </w:rPr>
              <w:t>a Reservas Voluntarias</w:t>
            </w:r>
            <w:r w:rsidR="00640140">
              <w:rPr>
                <w:sz w:val="20"/>
                <w:szCs w:val="20"/>
              </w:rPr>
              <w:t>)</w:t>
            </w:r>
            <w:r w:rsidR="0004274E">
              <w:rPr>
                <w:sz w:val="20"/>
                <w:szCs w:val="20"/>
              </w:rPr>
              <w:t>.</w:t>
            </w:r>
          </w:p>
          <w:p w14:paraId="1533AB4B" w14:textId="77777777" w:rsidR="00B94CE4" w:rsidRDefault="00B94CE4" w:rsidP="00B94C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67A27E01" w14:textId="23E550B0" w:rsidR="004774F3" w:rsidRPr="00B05264" w:rsidRDefault="00B1286B" w:rsidP="00B0526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 último, reseñar que el fondo de maniobra estimado para este año</w:t>
            </w:r>
            <w:r w:rsidR="008A4AE0">
              <w:rPr>
                <w:sz w:val="20"/>
                <w:szCs w:val="20"/>
              </w:rPr>
              <w:t xml:space="preserve"> 2024</w:t>
            </w:r>
            <w:r>
              <w:rPr>
                <w:sz w:val="20"/>
                <w:szCs w:val="20"/>
              </w:rPr>
              <w:t xml:space="preserve"> es positivo y cuyo importe se prevé que alcance los </w:t>
            </w:r>
            <w:r w:rsidR="008A4AE0">
              <w:rPr>
                <w:sz w:val="20"/>
                <w:szCs w:val="20"/>
              </w:rPr>
              <w:t xml:space="preserve">3.293.902,30 </w:t>
            </w:r>
            <w:r>
              <w:rPr>
                <w:sz w:val="20"/>
                <w:szCs w:val="20"/>
              </w:rPr>
              <w:t>€</w:t>
            </w:r>
            <w:r w:rsidRPr="00B12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 su estimación para 202</w:t>
            </w:r>
            <w:r w:rsidR="008A4AE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también es positivo y se prevé que alcance los </w:t>
            </w:r>
            <w:r w:rsidR="008A4AE0">
              <w:rPr>
                <w:sz w:val="20"/>
                <w:szCs w:val="20"/>
              </w:rPr>
              <w:t>988.903,80</w:t>
            </w:r>
            <w:r>
              <w:rPr>
                <w:sz w:val="20"/>
                <w:szCs w:val="20"/>
              </w:rPr>
              <w:t>€.</w:t>
            </w:r>
            <w:r w:rsidR="008A4AE0">
              <w:rPr>
                <w:sz w:val="20"/>
                <w:szCs w:val="20"/>
              </w:rPr>
              <w:t>, menor que en el 2024 por la realización del programa de Inversiones.</w:t>
            </w:r>
          </w:p>
          <w:p w14:paraId="5F126A1F" w14:textId="77777777" w:rsidR="00B05264" w:rsidRDefault="004774F3" w:rsidP="00B57195">
            <w:pPr>
              <w:pStyle w:val="Defaul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</w:t>
            </w:r>
          </w:p>
          <w:p w14:paraId="5FC8EA77" w14:textId="4E9C5915" w:rsidR="004774F3" w:rsidRPr="00636EE3" w:rsidRDefault="004774F3" w:rsidP="00B57195">
            <w:pPr>
              <w:pStyle w:val="Default"/>
              <w:rPr>
                <w:color w:val="FF0000"/>
                <w:sz w:val="20"/>
                <w:szCs w:val="20"/>
              </w:rPr>
            </w:pPr>
            <w:r w:rsidRPr="00636EE3">
              <w:rPr>
                <w:b/>
                <w:bCs/>
                <w:sz w:val="20"/>
                <w:szCs w:val="20"/>
              </w:rPr>
              <w:t xml:space="preserve">5.3. Otras consideraciones. </w:t>
            </w:r>
          </w:p>
          <w:p w14:paraId="39D7CBF8" w14:textId="77777777" w:rsidR="004774F3" w:rsidRDefault="004774F3" w:rsidP="00B57195">
            <w:pPr>
              <w:pStyle w:val="Default"/>
              <w:numPr>
                <w:ilvl w:val="0"/>
                <w:numId w:val="4"/>
              </w:numPr>
              <w:ind w:left="720" w:hanging="360"/>
              <w:jc w:val="both"/>
              <w:rPr>
                <w:sz w:val="20"/>
                <w:szCs w:val="20"/>
              </w:rPr>
            </w:pPr>
          </w:p>
          <w:p w14:paraId="7382EE73" w14:textId="36EA875B" w:rsidR="004774F3" w:rsidRPr="0085349B" w:rsidRDefault="00B94CE4" w:rsidP="00B57195">
            <w:pPr>
              <w:pStyle w:val="Default"/>
              <w:jc w:val="both"/>
              <w:rPr>
                <w:rFonts w:eastAsia="Calibri"/>
                <w:b/>
                <w:color w:val="FF0000"/>
                <w:sz w:val="20"/>
                <w:szCs w:val="20"/>
                <w:lang w:val="es-ES_tradnl"/>
                <w14:ligatures w14:val="none"/>
              </w:rPr>
            </w:pPr>
            <w:r w:rsidRPr="008A4AE0">
              <w:rPr>
                <w:sz w:val="20"/>
                <w:szCs w:val="20"/>
                <w:highlight w:val="yellow"/>
              </w:rPr>
              <w:t>Importante</w:t>
            </w:r>
            <w:r w:rsidR="00A6092B" w:rsidRPr="008A4AE0">
              <w:rPr>
                <w:sz w:val="20"/>
                <w:szCs w:val="20"/>
                <w:highlight w:val="yellow"/>
              </w:rPr>
              <w:t>,</w:t>
            </w:r>
            <w:r w:rsidRPr="008A4AE0">
              <w:rPr>
                <w:sz w:val="20"/>
                <w:szCs w:val="20"/>
                <w:highlight w:val="yellow"/>
              </w:rPr>
              <w:t xml:space="preserve"> señalar </w:t>
            </w:r>
            <w:r w:rsidR="00A6092B" w:rsidRPr="008A4AE0">
              <w:rPr>
                <w:sz w:val="20"/>
                <w:szCs w:val="20"/>
                <w:highlight w:val="yellow"/>
              </w:rPr>
              <w:t xml:space="preserve">de nuevo, </w:t>
            </w:r>
            <w:r w:rsidRPr="008A4AE0">
              <w:rPr>
                <w:sz w:val="20"/>
                <w:szCs w:val="20"/>
                <w:highlight w:val="yellow"/>
              </w:rPr>
              <w:t xml:space="preserve">que en cuanto al resultado indicado en la Cuenta de Pérdidas y Ganancias estimada para el cierre de 2023 de </w:t>
            </w:r>
            <w:r w:rsidR="00A6092B" w:rsidRPr="008A4AE0">
              <w:rPr>
                <w:sz w:val="20"/>
                <w:szCs w:val="20"/>
                <w:highlight w:val="yellow"/>
              </w:rPr>
              <w:t>5.024.586,31€, el mismo se ve afectado por la partida “otros resultados” cuyo importe es de 3.441.698,75€ provenientes de un apunte contable (ya explicado en el punto 5.1.b) de este PAIF</w:t>
            </w:r>
            <w:r w:rsidR="00303D4D" w:rsidRPr="008A4AE0">
              <w:rPr>
                <w:sz w:val="20"/>
                <w:szCs w:val="20"/>
                <w:highlight w:val="yellow"/>
              </w:rPr>
              <w:t>)</w:t>
            </w:r>
            <w:r w:rsidR="00A6092B" w:rsidRPr="008A4AE0">
              <w:rPr>
                <w:sz w:val="20"/>
                <w:szCs w:val="20"/>
                <w:highlight w:val="yellow"/>
              </w:rPr>
              <w:t>, sin el cual, el resultado final estimado para este año 2023 sería de 1.582.887,56€.</w:t>
            </w:r>
          </w:p>
        </w:tc>
      </w:tr>
    </w:tbl>
    <w:p w14:paraId="7BC1E20D" w14:textId="77777777" w:rsidR="00C776E8" w:rsidRPr="00C776E8" w:rsidRDefault="00C776E8" w:rsidP="00C776E8"/>
    <w:sectPr w:rsidR="00C776E8" w:rsidRPr="00C776E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B32C1" w14:textId="77777777" w:rsidR="002A4FBB" w:rsidRDefault="002A4FBB" w:rsidP="0085349B">
      <w:pPr>
        <w:spacing w:after="0" w:line="240" w:lineRule="auto"/>
      </w:pPr>
      <w:r>
        <w:separator/>
      </w:r>
    </w:p>
  </w:endnote>
  <w:endnote w:type="continuationSeparator" w:id="0">
    <w:p w14:paraId="31D03B77" w14:textId="77777777" w:rsidR="002A4FBB" w:rsidRDefault="002A4FBB" w:rsidP="0085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8BF67" w14:textId="77777777" w:rsidR="0085349B" w:rsidRPr="00770D32" w:rsidRDefault="0085349B" w:rsidP="0085349B">
    <w:pPr>
      <w:pStyle w:val="Piedepgina"/>
      <w:pBdr>
        <w:top w:val="single" w:sz="8" w:space="1" w:color="auto"/>
      </w:pBdr>
      <w:rPr>
        <w:sz w:val="14"/>
        <w:szCs w:val="14"/>
      </w:rPr>
    </w:pPr>
    <w:r w:rsidRPr="00770D32">
      <w:rPr>
        <w:sz w:val="14"/>
        <w:szCs w:val="14"/>
      </w:rPr>
      <w:t>Plaza de España, 1</w:t>
    </w:r>
    <w:r>
      <w:rPr>
        <w:sz w:val="14"/>
        <w:szCs w:val="14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</w:rPr>
      <w:t>2</w:t>
    </w:r>
    <w:r>
      <w:rPr>
        <w:rStyle w:val="Nmerodepgina"/>
      </w:rPr>
      <w:fldChar w:fldCharType="end"/>
    </w:r>
  </w:p>
  <w:p w14:paraId="0333AAFD" w14:textId="77777777" w:rsidR="0085349B" w:rsidRPr="00770D32" w:rsidRDefault="0085349B" w:rsidP="0085349B">
    <w:pPr>
      <w:pStyle w:val="Piedepgina"/>
      <w:rPr>
        <w:sz w:val="14"/>
        <w:szCs w:val="14"/>
      </w:rPr>
    </w:pPr>
    <w:r w:rsidRPr="00770D32">
      <w:rPr>
        <w:sz w:val="14"/>
        <w:szCs w:val="14"/>
      </w:rPr>
      <w:t>38003 Santa Cruz de Tenerife</w:t>
    </w:r>
  </w:p>
  <w:p w14:paraId="703353D8" w14:textId="77777777" w:rsidR="0085349B" w:rsidRPr="00770D32" w:rsidRDefault="0085349B" w:rsidP="0085349B">
    <w:pPr>
      <w:pStyle w:val="Piedepgina"/>
      <w:rPr>
        <w:sz w:val="14"/>
        <w:szCs w:val="14"/>
      </w:rPr>
    </w:pPr>
    <w:r w:rsidRPr="00770D32">
      <w:rPr>
        <w:sz w:val="14"/>
        <w:szCs w:val="14"/>
      </w:rPr>
      <w:t>Teléfono: 901 501 901</w:t>
    </w:r>
  </w:p>
  <w:p w14:paraId="7C247E8D" w14:textId="77777777" w:rsidR="0085349B" w:rsidRPr="00770D32" w:rsidRDefault="0085349B" w:rsidP="0085349B">
    <w:pPr>
      <w:pStyle w:val="Piedepgina"/>
      <w:rPr>
        <w:sz w:val="14"/>
        <w:szCs w:val="14"/>
      </w:rPr>
    </w:pPr>
    <w:r w:rsidRPr="00770D32">
      <w:rPr>
        <w:sz w:val="14"/>
        <w:szCs w:val="14"/>
      </w:rPr>
      <w:t>www.tenerife.es</w:t>
    </w:r>
  </w:p>
  <w:p w14:paraId="1F17EC86" w14:textId="77777777" w:rsidR="0085349B" w:rsidRDefault="008534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26D4C" w14:textId="77777777" w:rsidR="002A4FBB" w:rsidRDefault="002A4FBB" w:rsidP="0085349B">
      <w:pPr>
        <w:spacing w:after="0" w:line="240" w:lineRule="auto"/>
      </w:pPr>
      <w:r>
        <w:separator/>
      </w:r>
    </w:p>
  </w:footnote>
  <w:footnote w:type="continuationSeparator" w:id="0">
    <w:p w14:paraId="12F876B0" w14:textId="77777777" w:rsidR="002A4FBB" w:rsidRDefault="002A4FBB" w:rsidP="00853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E7664" w14:textId="77777777" w:rsidR="0085349B" w:rsidRDefault="0085349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D4A08F" wp14:editId="43205ECC">
          <wp:simplePos x="0" y="0"/>
          <wp:positionH relativeFrom="column">
            <wp:posOffset>-60960</wp:posOffset>
          </wp:positionH>
          <wp:positionV relativeFrom="paragraph">
            <wp:posOffset>-30480</wp:posOffset>
          </wp:positionV>
          <wp:extent cx="5401310" cy="1237615"/>
          <wp:effectExtent l="0" t="0" r="0" b="0"/>
          <wp:wrapNone/>
          <wp:docPr id="20187493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BE19193" wp14:editId="279A8999">
          <wp:extent cx="1085215" cy="847725"/>
          <wp:effectExtent l="0" t="0" r="635" b="9525"/>
          <wp:docPr id="3141052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F0978C" w14:textId="77777777" w:rsidR="0085349B" w:rsidRDefault="008534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2A5637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D75CA2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F4E1E9C"/>
    <w:multiLevelType w:val="hybridMultilevel"/>
    <w:tmpl w:val="A288C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913F5"/>
    <w:multiLevelType w:val="hybridMultilevel"/>
    <w:tmpl w:val="CA385A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2076B"/>
    <w:multiLevelType w:val="hybridMultilevel"/>
    <w:tmpl w:val="F7784110"/>
    <w:lvl w:ilvl="0" w:tplc="8AFC8B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FE0D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1645A16"/>
    <w:multiLevelType w:val="hybridMultilevel"/>
    <w:tmpl w:val="FB884B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351391">
    <w:abstractNumId w:val="4"/>
  </w:num>
  <w:num w:numId="2" w16cid:durableId="865218803">
    <w:abstractNumId w:val="1"/>
  </w:num>
  <w:num w:numId="3" w16cid:durableId="653266459">
    <w:abstractNumId w:val="0"/>
  </w:num>
  <w:num w:numId="4" w16cid:durableId="1772160488">
    <w:abstractNumId w:val="5"/>
  </w:num>
  <w:num w:numId="5" w16cid:durableId="1395470404">
    <w:abstractNumId w:val="3"/>
  </w:num>
  <w:num w:numId="6" w16cid:durableId="919217420">
    <w:abstractNumId w:val="6"/>
  </w:num>
  <w:num w:numId="7" w16cid:durableId="649135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9B"/>
    <w:rsid w:val="0004274E"/>
    <w:rsid w:val="000622AA"/>
    <w:rsid w:val="000730C1"/>
    <w:rsid w:val="000B4F87"/>
    <w:rsid w:val="001823AA"/>
    <w:rsid w:val="001D5AFA"/>
    <w:rsid w:val="00250EAD"/>
    <w:rsid w:val="002A4FBB"/>
    <w:rsid w:val="002B7F6E"/>
    <w:rsid w:val="00303D4D"/>
    <w:rsid w:val="00331674"/>
    <w:rsid w:val="00337047"/>
    <w:rsid w:val="003455DA"/>
    <w:rsid w:val="003564DA"/>
    <w:rsid w:val="00360800"/>
    <w:rsid w:val="0039145F"/>
    <w:rsid w:val="00405995"/>
    <w:rsid w:val="0047176D"/>
    <w:rsid w:val="004774F3"/>
    <w:rsid w:val="0047753C"/>
    <w:rsid w:val="0048265A"/>
    <w:rsid w:val="004A11DD"/>
    <w:rsid w:val="005050F0"/>
    <w:rsid w:val="005963E0"/>
    <w:rsid w:val="005B0273"/>
    <w:rsid w:val="005B1D9E"/>
    <w:rsid w:val="005C270D"/>
    <w:rsid w:val="005C3E7A"/>
    <w:rsid w:val="005C73A0"/>
    <w:rsid w:val="005F1440"/>
    <w:rsid w:val="0062366E"/>
    <w:rsid w:val="00640140"/>
    <w:rsid w:val="00641F70"/>
    <w:rsid w:val="00665582"/>
    <w:rsid w:val="0068471C"/>
    <w:rsid w:val="00696366"/>
    <w:rsid w:val="006B0747"/>
    <w:rsid w:val="00733C9E"/>
    <w:rsid w:val="007648BC"/>
    <w:rsid w:val="0079731A"/>
    <w:rsid w:val="007C0FB6"/>
    <w:rsid w:val="007F1305"/>
    <w:rsid w:val="0085349B"/>
    <w:rsid w:val="00854E80"/>
    <w:rsid w:val="008667AB"/>
    <w:rsid w:val="00892EC6"/>
    <w:rsid w:val="008A4AE0"/>
    <w:rsid w:val="008B4BAC"/>
    <w:rsid w:val="008C7E1E"/>
    <w:rsid w:val="00904614"/>
    <w:rsid w:val="0097638C"/>
    <w:rsid w:val="009822F9"/>
    <w:rsid w:val="009909C7"/>
    <w:rsid w:val="009B51E6"/>
    <w:rsid w:val="009D6267"/>
    <w:rsid w:val="009E7C84"/>
    <w:rsid w:val="00A21255"/>
    <w:rsid w:val="00A418F8"/>
    <w:rsid w:val="00A6092B"/>
    <w:rsid w:val="00A67EEB"/>
    <w:rsid w:val="00AD7424"/>
    <w:rsid w:val="00AE573D"/>
    <w:rsid w:val="00B01A1F"/>
    <w:rsid w:val="00B05264"/>
    <w:rsid w:val="00B1286B"/>
    <w:rsid w:val="00B57195"/>
    <w:rsid w:val="00B85296"/>
    <w:rsid w:val="00B8549C"/>
    <w:rsid w:val="00B94CE4"/>
    <w:rsid w:val="00BB4C9A"/>
    <w:rsid w:val="00C776E8"/>
    <w:rsid w:val="00CC3175"/>
    <w:rsid w:val="00CC5B7B"/>
    <w:rsid w:val="00D156C5"/>
    <w:rsid w:val="00D27721"/>
    <w:rsid w:val="00D614FA"/>
    <w:rsid w:val="00D75E56"/>
    <w:rsid w:val="00DA09DA"/>
    <w:rsid w:val="00E11C7F"/>
    <w:rsid w:val="00E1378B"/>
    <w:rsid w:val="00E20FB3"/>
    <w:rsid w:val="00E549A2"/>
    <w:rsid w:val="00E813EA"/>
    <w:rsid w:val="00E814CA"/>
    <w:rsid w:val="00EA1F42"/>
    <w:rsid w:val="00ED40AA"/>
    <w:rsid w:val="00F11D99"/>
    <w:rsid w:val="00F42C5A"/>
    <w:rsid w:val="00F5167F"/>
    <w:rsid w:val="00FB1B0A"/>
    <w:rsid w:val="00FD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65C56"/>
  <w15:chartTrackingRefBased/>
  <w15:docId w15:val="{56A6C415-8523-4466-A96F-C7233773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3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49B"/>
  </w:style>
  <w:style w:type="paragraph" w:styleId="Piedepgina">
    <w:name w:val="footer"/>
    <w:basedOn w:val="Normal"/>
    <w:link w:val="PiedepginaCar"/>
    <w:unhideWhenUsed/>
    <w:rsid w:val="00853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5349B"/>
  </w:style>
  <w:style w:type="character" w:styleId="Nmerodepgina">
    <w:name w:val="page number"/>
    <w:basedOn w:val="Fuentedeprrafopredeter"/>
    <w:rsid w:val="0085349B"/>
  </w:style>
  <w:style w:type="paragraph" w:customStyle="1" w:styleId="Default">
    <w:name w:val="Default"/>
    <w:rsid w:val="008534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8534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82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2354</Words>
  <Characters>12953</Characters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2024-09-25T09:59:00Z</dcterms:created>
  <dcterms:modified xsi:type="dcterms:W3CDTF">2024-09-26T08:05:00Z</dcterms:modified>
</cp:coreProperties>
</file>