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134F4" w14:textId="77777777" w:rsidR="006B2E6D" w:rsidRPr="00876A9C" w:rsidRDefault="005F5A34">
      <w:pPr>
        <w:rPr>
          <w:b/>
          <w:sz w:val="32"/>
        </w:rPr>
      </w:pPr>
      <w:r w:rsidRPr="00876A9C">
        <w:rPr>
          <w:b/>
          <w:sz w:val="32"/>
        </w:rPr>
        <w:t>PORTAL DE TRANSPARENCIA</w:t>
      </w:r>
    </w:p>
    <w:p w14:paraId="4AF952FA" w14:textId="5CD4B11F" w:rsidR="00D93158" w:rsidRDefault="00D93158" w:rsidP="007547E6">
      <w:pPr>
        <w:shd w:val="clear" w:color="auto" w:fill="FFFFFF"/>
        <w:spacing w:after="270"/>
        <w:rPr>
          <w:rFonts w:ascii="Arial" w:hAnsi="Arial" w:cs="Arial"/>
          <w:b/>
          <w:bCs/>
          <w:color w:val="252525"/>
          <w:sz w:val="28"/>
          <w:szCs w:val="28"/>
        </w:rPr>
      </w:pPr>
      <w:r w:rsidRPr="00D93158">
        <w:rPr>
          <w:rFonts w:cs="Tahoma"/>
          <w:b/>
          <w:bCs/>
          <w:color w:val="252525"/>
          <w:sz w:val="28"/>
          <w:szCs w:val="28"/>
        </w:rPr>
        <w:t xml:space="preserve">8. INFORMACIÓN </w:t>
      </w:r>
      <w:r w:rsidR="00F975BA" w:rsidRPr="00D93158">
        <w:rPr>
          <w:rFonts w:cs="Tahoma"/>
          <w:b/>
          <w:bCs/>
          <w:color w:val="252525"/>
          <w:sz w:val="28"/>
          <w:szCs w:val="28"/>
        </w:rPr>
        <w:t>ECONÓMICO-FINANCIERA</w:t>
      </w:r>
    </w:p>
    <w:p w14:paraId="59F10E98" w14:textId="77777777" w:rsidR="006B2E6D" w:rsidRDefault="006B2E6D"/>
    <w:p w14:paraId="0FC9CBE4" w14:textId="77777777" w:rsidR="004B63DD" w:rsidRPr="00855447" w:rsidRDefault="004B63DD" w:rsidP="004B63DD">
      <w:pPr>
        <w:pStyle w:val="NormalWeb"/>
        <w:shd w:val="clear" w:color="auto" w:fill="FFFFFF"/>
        <w:spacing w:after="270"/>
        <w:jc w:val="both"/>
        <w:rPr>
          <w:rFonts w:ascii="Arial" w:hAnsi="Arial" w:cs="Arial"/>
          <w:b/>
          <w:bCs/>
          <w:color w:val="252525"/>
        </w:rPr>
      </w:pPr>
      <w:r>
        <w:rPr>
          <w:rStyle w:val="Textoennegrita"/>
          <w:rFonts w:ascii="Arial" w:hAnsi="Arial" w:cs="Arial"/>
          <w:color w:val="252525"/>
        </w:rPr>
        <w:t>INFORMACIÓN RELATIVA A LA LEY15/2010 DE 5 DE JULIO SOBRE MOROSIDAD</w:t>
      </w:r>
    </w:p>
    <w:p w14:paraId="4B9FA82B" w14:textId="1ABB5550" w:rsidR="007547E6" w:rsidRDefault="007547E6" w:rsidP="007547E6">
      <w:pPr>
        <w:rPr>
          <w:rFonts w:cs="Tahoma"/>
          <w:sz w:val="22"/>
          <w:szCs w:val="22"/>
        </w:rPr>
      </w:pPr>
      <w:r w:rsidRPr="007547E6">
        <w:rPr>
          <w:rFonts w:cs="Tahoma"/>
          <w:sz w:val="22"/>
          <w:szCs w:val="22"/>
        </w:rPr>
        <w:t xml:space="preserve">MERCATENERIFE, S.A. al 31 de diciembre de 2023, la deuda con proveedores </w:t>
      </w:r>
      <w:r w:rsidR="00F975BA" w:rsidRPr="007547E6">
        <w:rPr>
          <w:rFonts w:cs="Tahoma"/>
          <w:sz w:val="22"/>
          <w:szCs w:val="22"/>
        </w:rPr>
        <w:t>comerciales</w:t>
      </w:r>
      <w:r w:rsidRPr="007547E6">
        <w:rPr>
          <w:rFonts w:cs="Tahoma"/>
          <w:sz w:val="22"/>
          <w:szCs w:val="22"/>
        </w:rPr>
        <w:t xml:space="preserve"> cumple con la normativa aplicable. A continuación, se presenta el detalle de los periodos medios de pago a proveedores correspondientes al ejercicio 2020, 2021, 2022, 2023</w:t>
      </w:r>
      <w:r w:rsidR="00F975BA">
        <w:rPr>
          <w:rFonts w:cs="Tahoma"/>
          <w:sz w:val="22"/>
          <w:szCs w:val="22"/>
        </w:rPr>
        <w:t xml:space="preserve">, </w:t>
      </w:r>
      <w:r w:rsidRPr="007547E6">
        <w:rPr>
          <w:rFonts w:cs="Tahoma"/>
          <w:sz w:val="22"/>
          <w:szCs w:val="22"/>
        </w:rPr>
        <w:t>2024</w:t>
      </w:r>
      <w:r w:rsidR="00F975BA">
        <w:rPr>
          <w:rFonts w:cs="Tahoma"/>
          <w:sz w:val="22"/>
          <w:szCs w:val="22"/>
        </w:rPr>
        <w:t xml:space="preserve"> y 2025</w:t>
      </w:r>
      <w:r w:rsidRPr="007547E6">
        <w:rPr>
          <w:rFonts w:cs="Tahoma"/>
          <w:sz w:val="22"/>
          <w:szCs w:val="22"/>
        </w:rPr>
        <w:t>:</w:t>
      </w:r>
    </w:p>
    <w:p w14:paraId="47035841" w14:textId="77777777" w:rsidR="007547E6" w:rsidRDefault="007547E6" w:rsidP="007547E6">
      <w:pPr>
        <w:ind w:left="2880" w:firstLine="720"/>
        <w:rPr>
          <w:rFonts w:cs="Tahoma"/>
          <w:sz w:val="22"/>
          <w:szCs w:val="22"/>
        </w:rPr>
      </w:pPr>
    </w:p>
    <w:p w14:paraId="3EA3B102" w14:textId="7B9D7DE0" w:rsidR="00F975BA" w:rsidRDefault="00F975BA" w:rsidP="00F975BA">
      <w:pPr>
        <w:ind w:left="2880" w:firstLine="720"/>
        <w:rPr>
          <w:rFonts w:cs="Tahoma"/>
          <w:sz w:val="22"/>
          <w:szCs w:val="22"/>
        </w:rPr>
      </w:pPr>
      <w:r w:rsidRPr="007547E6">
        <w:rPr>
          <w:rFonts w:cs="Tahoma"/>
          <w:b/>
          <w:bCs/>
          <w:sz w:val="22"/>
          <w:szCs w:val="22"/>
        </w:rPr>
        <w:t>202</w:t>
      </w:r>
      <w:r>
        <w:rPr>
          <w:rFonts w:cs="Tahoma"/>
          <w:b/>
          <w:bCs/>
          <w:sz w:val="22"/>
          <w:szCs w:val="22"/>
        </w:rPr>
        <w:t>5</w:t>
      </w:r>
      <w:r>
        <w:rPr>
          <w:rFonts w:cs="Tahoma"/>
          <w:sz w:val="22"/>
          <w:szCs w:val="22"/>
        </w:rPr>
        <w:t>: 47,33 días</w:t>
      </w:r>
    </w:p>
    <w:p w14:paraId="665D9F43" w14:textId="77777777" w:rsidR="007547E6" w:rsidRDefault="007547E6" w:rsidP="007547E6">
      <w:pPr>
        <w:ind w:left="2880" w:firstLine="720"/>
        <w:rPr>
          <w:rFonts w:cs="Tahoma"/>
          <w:sz w:val="22"/>
          <w:szCs w:val="22"/>
        </w:rPr>
      </w:pPr>
      <w:r w:rsidRPr="007547E6">
        <w:rPr>
          <w:rFonts w:cs="Tahoma"/>
          <w:b/>
          <w:bCs/>
          <w:sz w:val="22"/>
          <w:szCs w:val="22"/>
        </w:rPr>
        <w:t>2024</w:t>
      </w:r>
      <w:r>
        <w:rPr>
          <w:rFonts w:cs="Tahoma"/>
          <w:sz w:val="22"/>
          <w:szCs w:val="22"/>
        </w:rPr>
        <w:t>: 47</w:t>
      </w:r>
      <w:r w:rsidR="00FC1764">
        <w:rPr>
          <w:rFonts w:cs="Tahoma"/>
          <w:sz w:val="22"/>
          <w:szCs w:val="22"/>
        </w:rPr>
        <w:t>,33 días</w:t>
      </w:r>
    </w:p>
    <w:p w14:paraId="30B3AB87" w14:textId="77777777" w:rsidR="001B453F" w:rsidRPr="007547E6" w:rsidRDefault="001B453F" w:rsidP="007547E6">
      <w:pPr>
        <w:ind w:left="2880" w:firstLine="720"/>
        <w:rPr>
          <w:rFonts w:cs="Tahoma"/>
          <w:b/>
          <w:color w:val="252525"/>
          <w:sz w:val="22"/>
          <w:szCs w:val="22"/>
        </w:rPr>
      </w:pPr>
      <w:r w:rsidRPr="007547E6">
        <w:rPr>
          <w:rFonts w:cs="Tahoma"/>
          <w:b/>
          <w:color w:val="252525"/>
          <w:sz w:val="22"/>
          <w:szCs w:val="22"/>
        </w:rPr>
        <w:t>2023:</w:t>
      </w:r>
      <w:r w:rsidRPr="007547E6">
        <w:rPr>
          <w:rFonts w:cs="Tahoma"/>
          <w:color w:val="252525"/>
          <w:sz w:val="22"/>
          <w:szCs w:val="22"/>
        </w:rPr>
        <w:t xml:space="preserve"> 31,53 días</w:t>
      </w:r>
      <w:r w:rsidRPr="007547E6">
        <w:rPr>
          <w:rFonts w:cs="Tahoma"/>
          <w:b/>
          <w:color w:val="252525"/>
          <w:sz w:val="22"/>
          <w:szCs w:val="22"/>
        </w:rPr>
        <w:t xml:space="preserve"> </w:t>
      </w:r>
    </w:p>
    <w:p w14:paraId="77C819E1" w14:textId="77777777" w:rsidR="004B63DD" w:rsidRDefault="001B453F" w:rsidP="001B453F">
      <w:pPr>
        <w:ind w:left="2880" w:firstLine="720"/>
        <w:rPr>
          <w:rFonts w:ascii="Arial" w:hAnsi="Arial" w:cs="Arial"/>
          <w:color w:val="252525"/>
          <w:sz w:val="24"/>
          <w:szCs w:val="24"/>
        </w:rPr>
      </w:pPr>
      <w:r w:rsidRPr="00855447">
        <w:rPr>
          <w:rFonts w:ascii="Arial" w:hAnsi="Arial" w:cs="Arial"/>
          <w:b/>
          <w:color w:val="252525"/>
          <w:sz w:val="24"/>
          <w:szCs w:val="24"/>
        </w:rPr>
        <w:t>202</w:t>
      </w:r>
      <w:r>
        <w:rPr>
          <w:rFonts w:ascii="Arial" w:hAnsi="Arial" w:cs="Arial"/>
          <w:b/>
          <w:color w:val="252525"/>
          <w:sz w:val="24"/>
          <w:szCs w:val="24"/>
        </w:rPr>
        <w:t>2</w:t>
      </w:r>
      <w:r w:rsidRPr="00855447">
        <w:rPr>
          <w:rFonts w:ascii="Arial" w:hAnsi="Arial" w:cs="Arial"/>
          <w:b/>
          <w:color w:val="252525"/>
          <w:sz w:val="24"/>
          <w:szCs w:val="24"/>
        </w:rPr>
        <w:t>:</w:t>
      </w:r>
      <w:r>
        <w:rPr>
          <w:rFonts w:ascii="Arial" w:hAnsi="Arial" w:cs="Arial"/>
          <w:color w:val="252525"/>
          <w:sz w:val="24"/>
          <w:szCs w:val="24"/>
        </w:rPr>
        <w:t xml:space="preserve"> 35,17 días</w:t>
      </w:r>
    </w:p>
    <w:p w14:paraId="5295C3A6" w14:textId="77777777" w:rsidR="004B63DD" w:rsidRDefault="004B63DD" w:rsidP="001B453F">
      <w:pPr>
        <w:ind w:left="2880" w:firstLine="720"/>
        <w:rPr>
          <w:rFonts w:ascii="Arial" w:hAnsi="Arial" w:cs="Arial"/>
          <w:color w:val="252525"/>
          <w:sz w:val="24"/>
          <w:szCs w:val="24"/>
        </w:rPr>
      </w:pPr>
      <w:r w:rsidRPr="00855447">
        <w:rPr>
          <w:rFonts w:ascii="Arial" w:hAnsi="Arial" w:cs="Arial"/>
          <w:b/>
          <w:color w:val="252525"/>
          <w:sz w:val="24"/>
          <w:szCs w:val="24"/>
        </w:rPr>
        <w:t>2021:</w:t>
      </w:r>
      <w:r>
        <w:rPr>
          <w:rFonts w:ascii="Arial" w:hAnsi="Arial" w:cs="Arial"/>
          <w:color w:val="252525"/>
          <w:sz w:val="24"/>
          <w:szCs w:val="24"/>
        </w:rPr>
        <w:t xml:space="preserve"> 39,72 días.</w:t>
      </w:r>
    </w:p>
    <w:p w14:paraId="567F9B55" w14:textId="77777777" w:rsidR="004B63DD" w:rsidRDefault="004B63DD" w:rsidP="001B453F">
      <w:pPr>
        <w:ind w:left="2880" w:firstLine="720"/>
        <w:rPr>
          <w:rFonts w:ascii="Arial" w:hAnsi="Arial" w:cs="Arial"/>
          <w:color w:val="252525"/>
          <w:sz w:val="24"/>
          <w:szCs w:val="24"/>
        </w:rPr>
      </w:pPr>
      <w:r w:rsidRPr="00855447">
        <w:rPr>
          <w:rFonts w:ascii="Arial" w:hAnsi="Arial" w:cs="Arial"/>
          <w:b/>
          <w:color w:val="252525"/>
          <w:sz w:val="24"/>
          <w:szCs w:val="24"/>
        </w:rPr>
        <w:t>2020:</w:t>
      </w:r>
      <w:r>
        <w:rPr>
          <w:rFonts w:ascii="Arial" w:hAnsi="Arial" w:cs="Arial"/>
          <w:color w:val="252525"/>
          <w:sz w:val="24"/>
          <w:szCs w:val="24"/>
        </w:rPr>
        <w:t xml:space="preserve"> 80,26 días.</w:t>
      </w:r>
    </w:p>
    <w:p w14:paraId="7876F886" w14:textId="77777777" w:rsidR="004B63DD" w:rsidRDefault="004B63DD" w:rsidP="004B63DD">
      <w:pPr>
        <w:rPr>
          <w:rFonts w:ascii="Arial" w:hAnsi="Arial" w:cs="Arial"/>
          <w:color w:val="252525"/>
          <w:sz w:val="24"/>
          <w:szCs w:val="24"/>
        </w:rPr>
      </w:pPr>
    </w:p>
    <w:p w14:paraId="0729150F" w14:textId="77777777" w:rsidR="004B63DD" w:rsidRDefault="004B63DD" w:rsidP="004B63DD">
      <w:pPr>
        <w:rPr>
          <w:rFonts w:ascii="Arial" w:hAnsi="Arial" w:cs="Arial"/>
          <w:color w:val="252525"/>
          <w:sz w:val="24"/>
          <w:szCs w:val="24"/>
        </w:rPr>
      </w:pPr>
      <w:r w:rsidRPr="00920F36">
        <w:rPr>
          <w:rFonts w:ascii="Arial" w:hAnsi="Arial" w:cs="Arial"/>
          <w:color w:val="252525"/>
          <w:sz w:val="24"/>
          <w:szCs w:val="24"/>
        </w:rPr>
        <w:t>Formato:</w:t>
      </w:r>
      <w:r>
        <w:rPr>
          <w:rFonts w:ascii="Arial" w:hAnsi="Arial" w:cs="Arial"/>
          <w:color w:val="252525"/>
          <w:sz w:val="24"/>
          <w:szCs w:val="24"/>
        </w:rPr>
        <w:t xml:space="preserve"> </w:t>
      </w:r>
      <w:r w:rsidRPr="00855447">
        <w:rPr>
          <w:rFonts w:ascii="Arial" w:hAnsi="Arial" w:cs="Arial"/>
          <w:color w:val="252525"/>
          <w:sz w:val="24"/>
          <w:szCs w:val="24"/>
        </w:rPr>
        <w:t>DOCX DOC XPS PDF ODT</w:t>
      </w:r>
    </w:p>
    <w:p w14:paraId="4E1994F9" w14:textId="77777777" w:rsidR="004B63DD" w:rsidRPr="00926AA4" w:rsidRDefault="00430202" w:rsidP="004B63DD">
      <w:pPr>
        <w:spacing w:before="225" w:after="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36A6355A">
          <v:rect id="_x0000_i1025" style="width:510.5pt;height:3pt" o:hrpct="0" o:hrstd="t" o:hrnoshade="t" o:hr="t" fillcolor="#252525" stroked="f"/>
        </w:pict>
      </w:r>
    </w:p>
    <w:p w14:paraId="4674FAF5" w14:textId="77777777" w:rsidR="004B63DD" w:rsidRPr="00926AA4" w:rsidRDefault="004B63DD" w:rsidP="004B63DD">
      <w:pPr>
        <w:shd w:val="clear" w:color="auto" w:fill="FFFFFF"/>
        <w:spacing w:after="270"/>
        <w:rPr>
          <w:rFonts w:ascii="Arial" w:hAnsi="Arial" w:cs="Arial"/>
          <w:color w:val="252525"/>
          <w:sz w:val="18"/>
          <w:szCs w:val="18"/>
        </w:rPr>
      </w:pPr>
      <w:r w:rsidRPr="00926AA4">
        <w:rPr>
          <w:rFonts w:ascii="Arial" w:hAnsi="Arial" w:cs="Arial"/>
          <w:b/>
          <w:bCs/>
          <w:color w:val="252525"/>
          <w:sz w:val="18"/>
          <w:szCs w:val="18"/>
        </w:rPr>
        <w:t>Responsable:</w:t>
      </w:r>
      <w:r w:rsidRPr="00926AA4">
        <w:rPr>
          <w:rFonts w:ascii="Arial" w:hAnsi="Arial" w:cs="Arial"/>
          <w:color w:val="252525"/>
          <w:sz w:val="18"/>
          <w:szCs w:val="18"/>
        </w:rPr>
        <w:t> Mercados Centrales de Abastecimiento de Tenerife (MERCATENERIFE, S.A.).</w:t>
      </w:r>
    </w:p>
    <w:p w14:paraId="10CC756E" w14:textId="5599CF93" w:rsidR="004B63DD" w:rsidRPr="00926AA4" w:rsidRDefault="004B63DD" w:rsidP="004B63DD">
      <w:pPr>
        <w:shd w:val="clear" w:color="auto" w:fill="FFFFFF"/>
        <w:spacing w:after="270"/>
        <w:rPr>
          <w:rFonts w:ascii="Arial" w:hAnsi="Arial" w:cs="Arial"/>
          <w:color w:val="252525"/>
          <w:sz w:val="18"/>
          <w:szCs w:val="18"/>
        </w:rPr>
      </w:pPr>
      <w:r w:rsidRPr="00926AA4">
        <w:rPr>
          <w:rFonts w:ascii="Arial" w:hAnsi="Arial" w:cs="Arial"/>
          <w:b/>
          <w:bCs/>
          <w:color w:val="252525"/>
          <w:sz w:val="18"/>
          <w:szCs w:val="18"/>
        </w:rPr>
        <w:t>Formato:</w:t>
      </w:r>
      <w:r w:rsidRPr="00926AA4">
        <w:rPr>
          <w:rFonts w:ascii="Arial" w:hAnsi="Arial" w:cs="Arial"/>
          <w:color w:val="252525"/>
          <w:sz w:val="18"/>
          <w:szCs w:val="18"/>
        </w:rPr>
        <w:t xml:space="preserve">  PDF / XPS / HTML </w:t>
      </w:r>
      <w:proofErr w:type="gramStart"/>
      <w:r w:rsidRPr="00926AA4">
        <w:rPr>
          <w:rFonts w:ascii="Arial" w:hAnsi="Arial" w:cs="Arial"/>
          <w:color w:val="252525"/>
          <w:sz w:val="18"/>
          <w:szCs w:val="18"/>
        </w:rPr>
        <w:t>WEB  </w:t>
      </w:r>
      <w:r w:rsidRPr="00926AA4">
        <w:rPr>
          <w:rFonts w:ascii="Arial" w:hAnsi="Arial" w:cs="Arial"/>
          <w:b/>
          <w:bCs/>
          <w:color w:val="252525"/>
          <w:sz w:val="18"/>
          <w:szCs w:val="18"/>
        </w:rPr>
        <w:t>Fecha</w:t>
      </w:r>
      <w:proofErr w:type="gramEnd"/>
      <w:r w:rsidRPr="00926AA4">
        <w:rPr>
          <w:rFonts w:ascii="Arial" w:hAnsi="Arial" w:cs="Arial"/>
          <w:b/>
          <w:bCs/>
          <w:color w:val="252525"/>
          <w:sz w:val="18"/>
          <w:szCs w:val="18"/>
        </w:rPr>
        <w:t xml:space="preserve"> de Actualización:</w:t>
      </w:r>
      <w:r w:rsidRPr="00926AA4">
        <w:rPr>
          <w:rFonts w:ascii="Arial" w:hAnsi="Arial" w:cs="Arial"/>
          <w:color w:val="252525"/>
          <w:sz w:val="18"/>
          <w:szCs w:val="18"/>
        </w:rPr>
        <w:t xml:space="preserve">  </w:t>
      </w:r>
      <w:r w:rsidR="00FC1764">
        <w:rPr>
          <w:rFonts w:ascii="Arial" w:hAnsi="Arial" w:cs="Arial"/>
          <w:color w:val="252525"/>
          <w:sz w:val="18"/>
          <w:szCs w:val="18"/>
        </w:rPr>
        <w:t>31</w:t>
      </w:r>
      <w:r w:rsidR="001B453F">
        <w:rPr>
          <w:rFonts w:ascii="Arial" w:hAnsi="Arial" w:cs="Arial"/>
          <w:color w:val="252525"/>
          <w:sz w:val="18"/>
          <w:szCs w:val="18"/>
        </w:rPr>
        <w:t xml:space="preserve"> de </w:t>
      </w:r>
      <w:r w:rsidR="00FC1764">
        <w:rPr>
          <w:rFonts w:ascii="Arial" w:hAnsi="Arial" w:cs="Arial"/>
          <w:color w:val="252525"/>
          <w:sz w:val="18"/>
          <w:szCs w:val="18"/>
        </w:rPr>
        <w:t>marzo</w:t>
      </w:r>
      <w:r w:rsidR="001B453F">
        <w:rPr>
          <w:rFonts w:ascii="Arial" w:hAnsi="Arial" w:cs="Arial"/>
          <w:color w:val="252525"/>
          <w:sz w:val="18"/>
          <w:szCs w:val="18"/>
        </w:rPr>
        <w:t xml:space="preserve"> de 202</w:t>
      </w:r>
      <w:r w:rsidR="00F975BA">
        <w:rPr>
          <w:rFonts w:ascii="Arial" w:hAnsi="Arial" w:cs="Arial"/>
          <w:color w:val="252525"/>
          <w:sz w:val="18"/>
          <w:szCs w:val="18"/>
        </w:rPr>
        <w:t>6</w:t>
      </w:r>
    </w:p>
    <w:p w14:paraId="0EC1AA12" w14:textId="77777777" w:rsidR="006B2E6D" w:rsidRDefault="00430202" w:rsidP="004B63DD">
      <w:r>
        <w:rPr>
          <w:rFonts w:ascii="Times New Roman" w:hAnsi="Times New Roman"/>
          <w:sz w:val="24"/>
          <w:szCs w:val="24"/>
        </w:rPr>
        <w:pict w14:anchorId="21599C1B">
          <v:rect id="_x0000_i1026" style="width:510.5pt;height:3pt" o:hrpct="0" o:hrstd="t" o:hrnoshade="t" o:hr="t" fillcolor="#252525" stroked="f"/>
        </w:pict>
      </w:r>
    </w:p>
    <w:sectPr w:rsidR="006B2E6D">
      <w:headerReference w:type="default" r:id="rId6"/>
      <w:footerReference w:type="default" r:id="rId7"/>
      <w:pgSz w:w="11909" w:h="16834"/>
      <w:pgMar w:top="1134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B8566" w14:textId="77777777" w:rsidR="003F1B54" w:rsidRDefault="003F1B54">
      <w:r>
        <w:separator/>
      </w:r>
    </w:p>
  </w:endnote>
  <w:endnote w:type="continuationSeparator" w:id="0">
    <w:p w14:paraId="7E45A55A" w14:textId="77777777" w:rsidR="003F1B54" w:rsidRDefault="003F1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61831" w14:textId="77777777" w:rsidR="00C32DE9" w:rsidRDefault="005F5A34">
    <w:pPr>
      <w:pStyle w:val="PieLegal"/>
    </w:pPr>
    <w:r>
      <w:t>MERCATENERIFE, S.A. El Mayorazgo Sector 2 38110 Santa Cruz de Tenerife Tel.: 922 22 27 40 Fax: 922 22 27 41</w:t>
    </w:r>
  </w:p>
  <w:p w14:paraId="7D6AE25E" w14:textId="77777777" w:rsidR="00C32DE9" w:rsidRDefault="005F5A34">
    <w:pPr>
      <w:pStyle w:val="PieLegal"/>
    </w:pPr>
    <w:r>
      <w:t>CIF: A-</w:t>
    </w:r>
    <w:proofErr w:type="gramStart"/>
    <w:r>
      <w:t>38013272  R.M.</w:t>
    </w:r>
    <w:proofErr w:type="gramEnd"/>
    <w:r>
      <w:t xml:space="preserve"> De Santa Cruz de Tenerife, libro 42, secc.3ª, </w:t>
    </w:r>
    <w:proofErr w:type="gramStart"/>
    <w:r>
      <w:t>T.105.F.135;H</w:t>
    </w:r>
    <w:proofErr w:type="gramEnd"/>
    <w:r>
      <w:t>716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DD327" w14:textId="77777777" w:rsidR="003F1B54" w:rsidRDefault="003F1B54">
      <w:r>
        <w:rPr>
          <w:color w:val="000000"/>
        </w:rPr>
        <w:separator/>
      </w:r>
    </w:p>
  </w:footnote>
  <w:footnote w:type="continuationSeparator" w:id="0">
    <w:p w14:paraId="3AD77578" w14:textId="77777777" w:rsidR="003F1B54" w:rsidRDefault="003F1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284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368"/>
      <w:gridCol w:w="3938"/>
      <w:gridCol w:w="900"/>
    </w:tblGrid>
    <w:tr w:rsidR="00C32DE9" w14:paraId="3918F165" w14:textId="77777777">
      <w:tc>
        <w:tcPr>
          <w:tcW w:w="5368" w:type="dxa"/>
          <w:tcBorders>
            <w:bottom w:val="single" w:sz="12" w:space="0" w:color="00008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3141C4B" w14:textId="77777777" w:rsidR="00C32DE9" w:rsidRDefault="0090093F">
          <w:r w:rsidRPr="00512411">
            <w:rPr>
              <w:noProof/>
            </w:rPr>
            <w:pict w14:anchorId="5210680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7" type="#_x0000_t75" alt="LogoAzulHorizontal" style="width:226.5pt;height:60pt;visibility:visible">
                <v:imagedata r:id="rId1" o:title="LogoAzulHorizontal"/>
              </v:shape>
            </w:pict>
          </w:r>
        </w:p>
      </w:tc>
      <w:tc>
        <w:tcPr>
          <w:tcW w:w="3938" w:type="dxa"/>
          <w:tcBorders>
            <w:bottom w:val="single" w:sz="12" w:space="0" w:color="00008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58E45B4" w14:textId="77777777" w:rsidR="00C32DE9" w:rsidRDefault="00C32DE9"/>
      </w:tc>
      <w:tc>
        <w:tcPr>
          <w:tcW w:w="900" w:type="dxa"/>
          <w:tcBorders>
            <w:bottom w:val="single" w:sz="12" w:space="0" w:color="000080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E151023" w14:textId="77777777" w:rsidR="00C32DE9" w:rsidRDefault="0090093F">
          <w:pPr>
            <w:jc w:val="right"/>
          </w:pPr>
          <w:r w:rsidRPr="00512411">
            <w:rPr>
              <w:noProof/>
            </w:rPr>
            <w:pict w14:anchorId="5A72D8AF">
              <v:shape id="Imagen 2" o:spid="_x0000_i1028" type="#_x0000_t75" alt="LogoConjuntoPequeño" style="width:40.5pt;height:39pt;visibility:visible">
                <v:imagedata r:id="rId2" o:title="LogoConjuntoPequeño"/>
              </v:shape>
            </w:pict>
          </w:r>
        </w:p>
      </w:tc>
    </w:tr>
  </w:tbl>
  <w:p w14:paraId="0CF19213" w14:textId="77777777" w:rsidR="00C32DE9" w:rsidRDefault="00C32D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2E6D"/>
    <w:rsid w:val="00043F3D"/>
    <w:rsid w:val="000A6B89"/>
    <w:rsid w:val="001B453F"/>
    <w:rsid w:val="002F248B"/>
    <w:rsid w:val="003F1B54"/>
    <w:rsid w:val="00430202"/>
    <w:rsid w:val="004B63DD"/>
    <w:rsid w:val="005271F0"/>
    <w:rsid w:val="005756EB"/>
    <w:rsid w:val="005F5A34"/>
    <w:rsid w:val="0061455A"/>
    <w:rsid w:val="006A7198"/>
    <w:rsid w:val="006B2E6D"/>
    <w:rsid w:val="007547E6"/>
    <w:rsid w:val="00773642"/>
    <w:rsid w:val="00876A9C"/>
    <w:rsid w:val="0090093F"/>
    <w:rsid w:val="00920F36"/>
    <w:rsid w:val="00A70501"/>
    <w:rsid w:val="00B32144"/>
    <w:rsid w:val="00C325A3"/>
    <w:rsid w:val="00C32DE9"/>
    <w:rsid w:val="00CC444C"/>
    <w:rsid w:val="00D93158"/>
    <w:rsid w:val="00F975BA"/>
    <w:rsid w:val="00FA2628"/>
    <w:rsid w:val="00FC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121A6"/>
  <w15:docId w15:val="{0EAC9176-5281-4917-B0D3-D83FEA21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jc w:val="both"/>
      <w:textAlignment w:val="baseline"/>
    </w:pPr>
    <w:rPr>
      <w:rFonts w:ascii="Tahoma" w:hAnsi="Tahoma"/>
    </w:rPr>
  </w:style>
  <w:style w:type="paragraph" w:styleId="Ttulo1">
    <w:name w:val="heading 1"/>
    <w:basedOn w:val="Normal"/>
    <w:next w:val="Normal"/>
    <w:pPr>
      <w:keepNext/>
      <w:widowControl w:val="0"/>
      <w:tabs>
        <w:tab w:val="left" w:pos="120"/>
      </w:tabs>
      <w:spacing w:before="94"/>
      <w:outlineLvl w:val="0"/>
    </w:pPr>
    <w:rPr>
      <w:b/>
      <w:color w:val="000000"/>
      <w:sz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1133"/>
      </w:tabs>
      <w:spacing w:before="705"/>
      <w:outlineLvl w:val="1"/>
    </w:pPr>
    <w:rPr>
      <w:b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">
    <w:name w:val="Pie"/>
    <w:basedOn w:val="Normal"/>
    <w:pPr>
      <w:jc w:val="center"/>
    </w:pPr>
    <w:rPr>
      <w:rFonts w:cs="Tahoma"/>
      <w:color w:val="000080"/>
      <w:sz w:val="16"/>
      <w:szCs w:val="16"/>
    </w:rPr>
  </w:style>
  <w:style w:type="paragraph" w:styleId="Encabezado">
    <w:name w:val="header"/>
    <w:basedOn w:val="Normal"/>
    <w:next w:val="Normal"/>
    <w:pPr>
      <w:tabs>
        <w:tab w:val="center" w:pos="4252"/>
        <w:tab w:val="right" w:pos="8504"/>
      </w:tabs>
      <w:ind w:left="-284"/>
    </w:pPr>
    <w:rPr>
      <w:rFonts w:ascii="Arial Black" w:hAnsi="Arial Black"/>
      <w:spacing w:val="-80"/>
      <w:kern w:val="3"/>
      <w:sz w:val="96"/>
      <w:szCs w:val="96"/>
    </w:rPr>
  </w:style>
  <w:style w:type="paragraph" w:customStyle="1" w:styleId="Rtulo">
    <w:name w:val="Rótulo"/>
    <w:next w:val="Normal"/>
    <w:pPr>
      <w:suppressAutoHyphens/>
      <w:autoSpaceDN w:val="0"/>
      <w:textAlignment w:val="baseline"/>
    </w:pPr>
    <w:rPr>
      <w:rFonts w:ascii="Arial Black" w:hAnsi="Arial Black" w:cs="Arial"/>
      <w:spacing w:val="-5"/>
      <w:sz w:val="18"/>
    </w:rPr>
  </w:style>
  <w:style w:type="character" w:customStyle="1" w:styleId="RtuloCar">
    <w:name w:val="Rótulo Car"/>
    <w:rPr>
      <w:rFonts w:ascii="Arial Black" w:hAnsi="Arial Black" w:cs="Arial"/>
      <w:spacing w:val="-5"/>
      <w:sz w:val="18"/>
      <w:lang w:val="es-ES" w:eastAsia="es-ES" w:bidi="ar-SA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ieLegal">
    <w:name w:val="Pie Legal"/>
    <w:basedOn w:val="Pie"/>
    <w:pPr>
      <w:ind w:left="-284" w:right="-284"/>
    </w:pPr>
  </w:style>
  <w:style w:type="paragraph" w:customStyle="1" w:styleId="body1">
    <w:name w:val="body1"/>
    <w:basedOn w:val="Normal"/>
    <w:pPr>
      <w:jc w:val="left"/>
    </w:pPr>
    <w:rPr>
      <w:rFonts w:ascii="Times New Roman" w:hAnsi="Times New Roman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hAnsi="Times New Roman"/>
      <w:sz w:val="24"/>
      <w:szCs w:val="24"/>
    </w:rPr>
  </w:style>
  <w:style w:type="character" w:styleId="Textoennegrita">
    <w:name w:val="Strong"/>
    <w:uiPriority w:val="22"/>
    <w:qFormat/>
    <w:rsid w:val="00D93158"/>
    <w:rPr>
      <w:b/>
      <w:bCs/>
    </w:rPr>
  </w:style>
  <w:style w:type="character" w:styleId="Hipervnculo">
    <w:name w:val="Hyperlink"/>
    <w:uiPriority w:val="99"/>
    <w:unhideWhenUsed/>
    <w:rsid w:val="00D931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594</Characters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INFORMACIÓN ECONÓMICA FINANCIERA</vt:lpstr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2020-10-23T11:00:00Z</cp:lastPrinted>
  <dcterms:created xsi:type="dcterms:W3CDTF">2026-04-27T11:49:00Z</dcterms:created>
  <dcterms:modified xsi:type="dcterms:W3CDTF">2026-04-27T11:49:00Z</dcterms:modified>
</cp:coreProperties>
</file>