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A3042" w14:textId="77777777" w:rsidR="00552477" w:rsidRDefault="00737AF5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45DA3043" w14:textId="77777777" w:rsidR="00552477" w:rsidRDefault="00737AF5">
      <w:pPr>
        <w:rPr>
          <w:b/>
          <w:sz w:val="24"/>
        </w:rPr>
      </w:pPr>
      <w:r>
        <w:rPr>
          <w:b/>
          <w:sz w:val="24"/>
        </w:rPr>
        <w:t>12. CONTRATOS</w:t>
      </w:r>
    </w:p>
    <w:p w14:paraId="45DA3044" w14:textId="43FBF56B" w:rsidR="00552477" w:rsidRDefault="00737AF5">
      <w:pPr>
        <w:pStyle w:val="NormalWeb"/>
        <w:jc w:val="both"/>
      </w:pPr>
      <w:r>
        <w:rPr>
          <w:rFonts w:ascii="Tahoma" w:hAnsi="Tahoma" w:cs="Tahoma"/>
          <w:b/>
          <w:szCs w:val="20"/>
        </w:rPr>
        <w:t>1136 INFORMACIÓN GENERAL</w:t>
      </w:r>
      <w:r>
        <w:rPr>
          <w:rFonts w:ascii="Tahoma" w:hAnsi="Tahoma" w:cs="Tahoma"/>
          <w:szCs w:val="20"/>
        </w:rPr>
        <w:t xml:space="preserve"> </w:t>
      </w:r>
      <w:r>
        <w:rPr>
          <w:rStyle w:val="Textoennegrita"/>
          <w:rFonts w:ascii="Tahoma" w:hAnsi="Tahoma" w:cs="Tahoma"/>
          <w:color w:val="252525"/>
          <w:shd w:val="clear" w:color="auto" w:fill="FFFFFF"/>
        </w:rPr>
        <w:t>LAS ENTIDADES Y ÓRGANOS DE CONTRATACIÓN (COMO DIRECCIÓN DE CONTACTO, NÚMERO DE TELÉFONO Y FAX, DIRECCIÓN POSTAL Y CUENTA DE CORREO ELECTRÓNICO</w:t>
      </w:r>
    </w:p>
    <w:p w14:paraId="45DA3045" w14:textId="77777777" w:rsidR="00552477" w:rsidRDefault="00552477">
      <w:pPr>
        <w:pStyle w:val="NormalWeb"/>
        <w:rPr>
          <w:rFonts w:ascii="Tahoma" w:hAnsi="Tahoma"/>
          <w:b/>
          <w:szCs w:val="20"/>
        </w:rPr>
      </w:pPr>
    </w:p>
    <w:p w14:paraId="45DA3046" w14:textId="77777777" w:rsidR="00552477" w:rsidRDefault="00737AF5">
      <w:pPr>
        <w:pStyle w:val="NormalWeb"/>
        <w:jc w:val="both"/>
      </w:pPr>
      <w:r>
        <w:rPr>
          <w:rFonts w:ascii="Tahoma" w:hAnsi="Tahoma"/>
          <w:b/>
          <w:szCs w:val="20"/>
        </w:rPr>
        <w:t>MERCATENERIFE, S.A. ES PODER ADJUDICADOR</w:t>
      </w:r>
      <w:r>
        <w:rPr>
          <w:rFonts w:ascii="Tahoma" w:hAnsi="Tahoma"/>
          <w:szCs w:val="20"/>
        </w:rPr>
        <w:t xml:space="preserve"> </w:t>
      </w:r>
      <w:r>
        <w:rPr>
          <w:rFonts w:ascii="Tahoma" w:hAnsi="Tahoma"/>
          <w:b/>
          <w:szCs w:val="20"/>
        </w:rPr>
        <w:t>NO ADMINISTRACIÓN PÚBLICA</w:t>
      </w:r>
    </w:p>
    <w:p w14:paraId="45DA3047" w14:textId="77777777" w:rsidR="00552477" w:rsidRDefault="00737AF5">
      <w:pPr>
        <w:suppressAutoHyphens w:val="0"/>
        <w:spacing w:before="100" w:after="100"/>
        <w:textAlignment w:val="auto"/>
        <w:rPr>
          <w:sz w:val="24"/>
        </w:rPr>
      </w:pPr>
      <w:r>
        <w:rPr>
          <w:sz w:val="24"/>
        </w:rPr>
        <w:t>Conforme a lo establecido en la Ley 9/2017, de 8 de noviembre, de Contratos del Sector Público (en adelante LCSP), y por el Reglamento General de la Ley de Contratos de las Administraciones Públicas (en adelante RGLCAP), aprobado por Real Decreto 1098/2001, de 12 de octubre, que permanece vigente en todo aquello que no se oponga a la Ley o haya quedado afectado por sus disposiciones transitorias, la SOCIEDAD ANÓNIMA DE MERCADOS CENTRALES DE ABASTECIMIENTO DE TENERIFE, S.A. (en adelante, MERCATENERIFE) es un</w:t>
      </w:r>
      <w:r>
        <w:rPr>
          <w:sz w:val="24"/>
        </w:rPr>
        <w:t>a sociedad anónima de capital público, por lo que tiene el carácter de poder adjudicador que no tiene la consideración de Administración Pública, sujeta, por tanto, a los procedimientos de contratación de las Administraciones regulados en la LCSP y el RGLCAP.</w:t>
      </w:r>
    </w:p>
    <w:p w14:paraId="45DA3048" w14:textId="77777777" w:rsidR="00552477" w:rsidRDefault="00737AF5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>Asimismo, según lo establecido en el art. 61 de la Ley 9/2017 de 8 de noviembre, de Contratos del Sector Público, el órgano de Contratación que actúa en nombre de MERCATENERIFE es el Consejo de Administración de la Entidad.</w:t>
      </w:r>
    </w:p>
    <w:p w14:paraId="45DA3049" w14:textId="77777777" w:rsidR="00552477" w:rsidRDefault="00737AF5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 xml:space="preserve">Puede realizar cualquier consulta sobre materia de contratación a través de correo electrónico: </w:t>
      </w:r>
      <w:hyperlink r:id="rId6" w:history="1">
        <w:r>
          <w:rPr>
            <w:rStyle w:val="Hipervnculo"/>
            <w:rFonts w:ascii="Arial" w:hAnsi="Arial" w:cs="Arial"/>
            <w:sz w:val="24"/>
            <w:szCs w:val="24"/>
          </w:rPr>
          <w:t>secretaria@mercatenerife.es</w:t>
        </w:r>
      </w:hyperlink>
    </w:p>
    <w:p w14:paraId="45DA304A" w14:textId="77777777" w:rsidR="00552477" w:rsidRDefault="00737AF5">
      <w:pPr>
        <w:shd w:val="clear" w:color="auto" w:fill="FFFFFF"/>
        <w:spacing w:after="270"/>
        <w:rPr>
          <w:rFonts w:ascii="Arial" w:hAnsi="Arial" w:cs="Arial"/>
          <w:b/>
          <w:color w:val="252525"/>
          <w:sz w:val="24"/>
          <w:szCs w:val="24"/>
          <w:u w:val="single"/>
        </w:rPr>
      </w:pPr>
      <w:r>
        <w:rPr>
          <w:rFonts w:ascii="Arial" w:hAnsi="Arial" w:cs="Arial"/>
          <w:b/>
          <w:color w:val="252525"/>
          <w:sz w:val="24"/>
          <w:szCs w:val="24"/>
          <w:u w:val="single"/>
        </w:rPr>
        <w:t>Datos de contacto de MERCATENERIFE, S.A.</w:t>
      </w:r>
    </w:p>
    <w:p w14:paraId="45DA304B" w14:textId="77777777" w:rsidR="00552477" w:rsidRDefault="00737AF5">
      <w:pPr>
        <w:shd w:val="clear" w:color="auto" w:fill="FFFFFF"/>
        <w:spacing w:after="270"/>
        <w:rPr>
          <w:rFonts w:ascii="Arial" w:hAnsi="Arial" w:cs="Arial"/>
          <w:color w:val="252525"/>
          <w:szCs w:val="24"/>
        </w:rPr>
      </w:pPr>
      <w:r>
        <w:rPr>
          <w:rFonts w:ascii="Arial" w:hAnsi="Arial" w:cs="Arial"/>
          <w:color w:val="252525"/>
          <w:szCs w:val="24"/>
        </w:rPr>
        <w:t>Dirección Postal: Pol. El Mayorazgo Sector 2 38110 Santa Cruz de Tenerife</w:t>
      </w:r>
    </w:p>
    <w:p w14:paraId="45DA304C" w14:textId="77777777" w:rsidR="00552477" w:rsidRDefault="00737AF5">
      <w:pPr>
        <w:shd w:val="clear" w:color="auto" w:fill="FFFFFF"/>
        <w:spacing w:after="270"/>
      </w:pPr>
      <w:r>
        <w:rPr>
          <w:rFonts w:ascii="Arial" w:hAnsi="Arial" w:cs="Arial"/>
          <w:color w:val="252525"/>
          <w:szCs w:val="24"/>
        </w:rPr>
        <w:t>Teléfono: +34 922 222 740       Correo electrónico: </w:t>
      </w:r>
      <w:hyperlink r:id="rId7" w:history="1">
        <w:r>
          <w:rPr>
            <w:rStyle w:val="Hipervnculo"/>
            <w:sz w:val="24"/>
          </w:rPr>
          <w:t>secretaria@mercatenerife.es</w:t>
        </w:r>
      </w:hyperlink>
    </w:p>
    <w:p w14:paraId="45DA304D" w14:textId="77777777" w:rsidR="00552477" w:rsidRDefault="00737AF5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18"/>
          <w:szCs w:val="18"/>
        </w:rPr>
        <w:t>Toda esta información está disponible en estos formatos: </w:t>
      </w:r>
      <w:r>
        <w:rPr>
          <w:rFonts w:ascii="Arial" w:hAnsi="Arial" w:cs="Arial"/>
          <w:sz w:val="18"/>
          <w:szCs w:val="18"/>
          <w:shd w:val="clear" w:color="auto" w:fill="FFFFFF"/>
        </w:rPr>
        <w:t>DOC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DOCX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PDF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ODT</w:t>
      </w:r>
      <w:r>
        <w:rPr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XPS</w:t>
      </w:r>
    </w:p>
    <w:p w14:paraId="45DA304E" w14:textId="77777777" w:rsidR="00552477" w:rsidRDefault="00737AF5">
      <w:pPr>
        <w:suppressAutoHyphens w:val="0"/>
        <w:spacing w:before="100" w:after="100"/>
        <w:textAlignment w:val="auto"/>
      </w:pPr>
      <w:r>
        <w:rPr>
          <w:rStyle w:val="Textoennegrita"/>
        </w:rPr>
        <w:t xml:space="preserve">TODA ESTA INFORMACIÓN Y DOCUMENTOS RELATIVOS A LA ACTIVIDAD CONTRACTUAL DE LA ENTIDAD ESTÁ DISPONIBLE PARA CUALQUIER PERSONA O ENTIDAD EN NUESTRO </w:t>
      </w:r>
      <w:hyperlink r:id="rId8" w:history="1">
        <w:r>
          <w:rPr>
            <w:rStyle w:val="Hipervnculo"/>
            <w:b/>
            <w:bCs/>
          </w:rPr>
          <w:t>PERFIL DEL CONTRATANTE - LICITACIONES DE ESTA WEB</w:t>
        </w:r>
      </w:hyperlink>
      <w:r>
        <w:rPr>
          <w:rStyle w:val="Textoennegrita"/>
        </w:rPr>
        <w:t> O EN EL PERFIL DE NUESTRA ENTIDAD EN LA </w:t>
      </w:r>
      <w:hyperlink r:id="rId9" w:history="1">
        <w:r>
          <w:rPr>
            <w:rStyle w:val="Hipervnculo"/>
            <w:b/>
            <w:bCs/>
          </w:rPr>
          <w:t>PLATAFORMA DE CONTRATACIÓN DEL ESTADO</w:t>
        </w:r>
      </w:hyperlink>
      <w:r>
        <w:rPr>
          <w:rStyle w:val="Textoennegrita"/>
        </w:rPr>
        <w:t xml:space="preserve"> AL OBJETO DE ASEGURAR LA TRANSPARENCIA Y EL ACCESO PÚBLICO A LOS MISMOS. </w:t>
      </w:r>
    </w:p>
    <w:p w14:paraId="45DA304F" w14:textId="77777777" w:rsidR="00552477" w:rsidRDefault="00737AF5">
      <w:pPr>
        <w:shd w:val="clear" w:color="auto" w:fill="FFFFFF"/>
        <w:suppressAutoHyphens w:val="0"/>
        <w:spacing w:after="270"/>
        <w:jc w:val="left"/>
        <w:textAlignment w:val="auto"/>
        <w:rPr>
          <w:rFonts w:cs="Tahoma"/>
          <w:b/>
          <w:bCs/>
          <w:color w:val="252525"/>
          <w:sz w:val="32"/>
          <w:szCs w:val="32"/>
        </w:rPr>
      </w:pPr>
      <w:r>
        <w:rPr>
          <w:rFonts w:cs="Tahoma"/>
          <w:b/>
          <w:bCs/>
          <w:color w:val="252525"/>
          <w:sz w:val="32"/>
          <w:szCs w:val="32"/>
        </w:rPr>
        <w:t>_______________________________________________</w:t>
      </w:r>
    </w:p>
    <w:p w14:paraId="45DA3050" w14:textId="77777777" w:rsidR="00552477" w:rsidRDefault="00737AF5">
      <w:pPr>
        <w:shd w:val="clear" w:color="auto" w:fill="FFFFFF"/>
        <w:suppressAutoHyphens w:val="0"/>
        <w:spacing w:after="270"/>
        <w:jc w:val="left"/>
        <w:textAlignment w:val="auto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45DA3051" w14:textId="5D9A4078" w:rsidR="00552477" w:rsidRDefault="00737AF5">
      <w:pPr>
        <w:shd w:val="clear" w:color="auto" w:fill="FFFFFF"/>
        <w:suppressAutoHyphens w:val="0"/>
        <w:spacing w:after="270"/>
        <w:jc w:val="left"/>
        <w:textAlignment w:val="auto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PDF / ODT/ XPS / XLS / DOC/ HTML 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31 de </w:t>
      </w:r>
      <w:r w:rsidR="00E01DB9">
        <w:rPr>
          <w:rFonts w:ascii="Arial" w:hAnsi="Arial" w:cs="Arial"/>
          <w:color w:val="252525"/>
          <w:sz w:val="18"/>
          <w:szCs w:val="18"/>
        </w:rPr>
        <w:t>marzo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E01DB9">
        <w:rPr>
          <w:rFonts w:ascii="Arial" w:hAnsi="Arial" w:cs="Arial"/>
          <w:color w:val="252525"/>
          <w:sz w:val="18"/>
          <w:szCs w:val="18"/>
        </w:rPr>
        <w:t>5</w:t>
      </w:r>
    </w:p>
    <w:p w14:paraId="45DA3052" w14:textId="77777777" w:rsidR="00552477" w:rsidRDefault="00737AF5">
      <w:r>
        <w:rPr>
          <w:b/>
          <w:sz w:val="32"/>
        </w:rPr>
        <w:t>_______________________________________________</w:t>
      </w:r>
    </w:p>
    <w:sectPr w:rsidR="00552477">
      <w:headerReference w:type="default" r:id="rId10"/>
      <w:footerReference w:type="default" r:id="rId11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A3046" w14:textId="77777777" w:rsidR="00737AF5" w:rsidRDefault="00737AF5">
      <w:r>
        <w:separator/>
      </w:r>
    </w:p>
  </w:endnote>
  <w:endnote w:type="continuationSeparator" w:id="0">
    <w:p w14:paraId="45DA3048" w14:textId="77777777" w:rsidR="00737AF5" w:rsidRDefault="0073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A3050" w14:textId="77777777" w:rsidR="00737AF5" w:rsidRDefault="00737AF5">
    <w:pPr>
      <w:pStyle w:val="PieLegal"/>
    </w:pPr>
    <w:r>
      <w:t xml:space="preserve">MERCATENERIFE, S.A. El Mayorazgo Sector 2 38110 Santa Cruz de </w:t>
    </w:r>
    <w:r>
      <w:t>Tenerife Tel.: 922 22 27 40 Fax: 922 22 27 41</w:t>
    </w:r>
  </w:p>
  <w:p w14:paraId="45DA3051" w14:textId="77777777" w:rsidR="00737AF5" w:rsidRDefault="00737AF5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3042" w14:textId="77777777" w:rsidR="00737AF5" w:rsidRDefault="00737AF5">
      <w:r>
        <w:rPr>
          <w:color w:val="000000"/>
        </w:rPr>
        <w:separator/>
      </w:r>
    </w:p>
  </w:footnote>
  <w:footnote w:type="continuationSeparator" w:id="0">
    <w:p w14:paraId="45DA3044" w14:textId="77777777" w:rsidR="00737AF5" w:rsidRDefault="0073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791058" w14:paraId="45DA304D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DA304A" w14:textId="77777777" w:rsidR="00737AF5" w:rsidRDefault="00737AF5">
          <w:r>
            <w:rPr>
              <w:noProof/>
            </w:rPr>
            <w:drawing>
              <wp:inline distT="0" distB="0" distL="0" distR="0" wp14:anchorId="45DA3042" wp14:editId="45DA3043">
                <wp:extent cx="2876546" cy="761996"/>
                <wp:effectExtent l="0" t="0" r="4" b="4"/>
                <wp:docPr id="351219144" name="Imagen 2" descr="LogoAzulHorizont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46" cy="761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DA304B" w14:textId="77777777" w:rsidR="00737AF5" w:rsidRDefault="00737AF5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5DA304C" w14:textId="77777777" w:rsidR="00737AF5" w:rsidRDefault="00737AF5">
          <w:pPr>
            <w:jc w:val="right"/>
          </w:pPr>
          <w:r>
            <w:rPr>
              <w:noProof/>
            </w:rPr>
            <w:drawing>
              <wp:inline distT="0" distB="0" distL="0" distR="0" wp14:anchorId="45DA3044" wp14:editId="45DA3045">
                <wp:extent cx="514350" cy="495303"/>
                <wp:effectExtent l="0" t="0" r="0" b="0"/>
                <wp:docPr id="659394275" name="Imagen 1" descr="LogoConjuntoPequeñ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DA304E" w14:textId="77777777" w:rsidR="00737AF5" w:rsidRDefault="00737A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2477"/>
    <w:rsid w:val="00552477"/>
    <w:rsid w:val="00737AF5"/>
    <w:rsid w:val="00E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3042"/>
  <w15:docId w15:val="{525B6476-E12B-4E6F-9639-219017B2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perfil-del-contratant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mercatenerife.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mercatenerife.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ontrataciondelestado.es/wps/poc?uri=deeplink:perfilContratante&amp;idBp=FOJAMKocR94QK2TEfXGy%2BA%3D%3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 Mercatfe</dc:title>
  <dc:subject/>
  <dc:creator>Secretaria</dc:creator>
  <cp:lastModifiedBy>Secretaria - Mercatenerife</cp:lastModifiedBy>
  <cp:revision>2</cp:revision>
  <cp:lastPrinted>2022-04-28T07:37:00Z</cp:lastPrinted>
  <dcterms:created xsi:type="dcterms:W3CDTF">2025-04-12T09:58:00Z</dcterms:created>
  <dcterms:modified xsi:type="dcterms:W3CDTF">2025-04-12T09:58:00Z</dcterms:modified>
</cp:coreProperties>
</file>